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7503" w14:textId="5DBB5EAA" w:rsidR="00451DC2" w:rsidRDefault="00776F2E" w:rsidP="006E32D5">
      <w:pPr>
        <w:pStyle w:val="Title"/>
        <w:jc w:val="center"/>
        <w:rPr>
          <w:lang w:val="en-GB"/>
        </w:rPr>
      </w:pPr>
      <w:r w:rsidRPr="6A25EF15">
        <w:rPr>
          <w:lang w:val="en-GB"/>
        </w:rPr>
        <w:t>S</w:t>
      </w:r>
      <w:r w:rsidR="00451DC2" w:rsidRPr="6A25EF15">
        <w:rPr>
          <w:lang w:val="en-GB"/>
        </w:rPr>
        <w:t>ubmission</w:t>
      </w:r>
      <w:r w:rsidRPr="6A25EF15">
        <w:rPr>
          <w:lang w:val="en-GB"/>
        </w:rPr>
        <w:t xml:space="preserve"> on the Climate Change Commission Advice to Government</w:t>
      </w:r>
    </w:p>
    <w:p w14:paraId="77A2407B" w14:textId="0255B439" w:rsidR="6A25EF15" w:rsidRDefault="6A25EF15" w:rsidP="6A25EF15">
      <w:pPr>
        <w:jc w:val="center"/>
        <w:rPr>
          <w:lang w:val="en-GB"/>
        </w:rPr>
      </w:pPr>
    </w:p>
    <w:p w14:paraId="0B2F89DA" w14:textId="0F45EF2B" w:rsidR="00776F2E" w:rsidRDefault="006E32D5" w:rsidP="006E32D5">
      <w:pPr>
        <w:jc w:val="center"/>
        <w:rPr>
          <w:lang w:val="en-GB"/>
        </w:rPr>
      </w:pPr>
      <w:r>
        <w:rPr>
          <w:lang w:val="en-GB"/>
        </w:rPr>
        <w:t>2</w:t>
      </w:r>
      <w:r w:rsidR="0002548D">
        <w:rPr>
          <w:lang w:val="en-GB"/>
        </w:rPr>
        <w:t>7</w:t>
      </w:r>
      <w:r>
        <w:rPr>
          <w:lang w:val="en-GB"/>
        </w:rPr>
        <w:t xml:space="preserve"> March 2021</w:t>
      </w:r>
    </w:p>
    <w:p w14:paraId="4B74E0B2" w14:textId="77777777" w:rsidR="00CD4FC7" w:rsidRDefault="00CD4FC7" w:rsidP="006E32D5">
      <w:pPr>
        <w:jc w:val="center"/>
        <w:rPr>
          <w:lang w:val="en-GB"/>
        </w:rPr>
      </w:pPr>
    </w:p>
    <w:sdt>
      <w:sdtPr>
        <w:rPr>
          <w:rFonts w:asciiTheme="minorHAnsi" w:eastAsiaTheme="minorEastAsia" w:hAnsiTheme="minorHAnsi" w:cstheme="minorBidi"/>
          <w:b w:val="0"/>
          <w:color w:val="auto"/>
          <w:sz w:val="24"/>
          <w:szCs w:val="24"/>
          <w:lang w:val="en-NZ"/>
        </w:rPr>
        <w:id w:val="2042392326"/>
        <w:docPartObj>
          <w:docPartGallery w:val="Table of Contents"/>
          <w:docPartUnique/>
        </w:docPartObj>
      </w:sdtPr>
      <w:sdtEndPr>
        <w:rPr>
          <w:bCs/>
          <w:noProof/>
          <w:sz w:val="22"/>
        </w:rPr>
      </w:sdtEndPr>
      <w:sdtContent>
        <w:p w14:paraId="5A6C3250" w14:textId="77777777" w:rsidR="00451DC2" w:rsidRDefault="00451DC2" w:rsidP="00451DC2">
          <w:pPr>
            <w:pStyle w:val="TOCHeading"/>
          </w:pPr>
          <w:r>
            <w:t>Contents</w:t>
          </w:r>
        </w:p>
        <w:p w14:paraId="6AF87A93" w14:textId="4F6CFEE1" w:rsidR="00AF23C6" w:rsidRDefault="002E2419">
          <w:pPr>
            <w:pStyle w:val="TOC1"/>
            <w:rPr>
              <w:rFonts w:eastAsiaTheme="minorEastAsia"/>
              <w:lang w:eastAsia="en-NZ"/>
            </w:rPr>
          </w:pPr>
          <w:r>
            <w:fldChar w:fldCharType="begin"/>
          </w:r>
          <w:r>
            <w:instrText xml:space="preserve"> TOC \o "1-2" \h \z \u </w:instrText>
          </w:r>
          <w:r>
            <w:fldChar w:fldCharType="separate"/>
          </w:r>
          <w:hyperlink w:anchor="_Toc67752199" w:history="1">
            <w:r w:rsidR="00AF23C6" w:rsidRPr="00B1339D">
              <w:rPr>
                <w:rStyle w:val="Hyperlink"/>
                <w:lang w:val="en-GB"/>
              </w:rPr>
              <w:t>1</w:t>
            </w:r>
            <w:r w:rsidR="00AF23C6">
              <w:rPr>
                <w:rFonts w:eastAsiaTheme="minorEastAsia"/>
                <w:lang w:eastAsia="en-NZ"/>
              </w:rPr>
              <w:tab/>
            </w:r>
            <w:r w:rsidR="00AF23C6" w:rsidRPr="00B1339D">
              <w:rPr>
                <w:rStyle w:val="Hyperlink"/>
                <w:lang w:val="en-GB"/>
              </w:rPr>
              <w:t>Introduction</w:t>
            </w:r>
            <w:r w:rsidR="00AF23C6">
              <w:rPr>
                <w:webHidden/>
              </w:rPr>
              <w:tab/>
            </w:r>
            <w:r w:rsidR="00AF23C6">
              <w:rPr>
                <w:webHidden/>
              </w:rPr>
              <w:fldChar w:fldCharType="begin"/>
            </w:r>
            <w:r w:rsidR="00AF23C6">
              <w:rPr>
                <w:webHidden/>
              </w:rPr>
              <w:instrText xml:space="preserve"> PAGEREF _Toc67752199 \h </w:instrText>
            </w:r>
            <w:r w:rsidR="00AF23C6">
              <w:rPr>
                <w:webHidden/>
              </w:rPr>
            </w:r>
            <w:r w:rsidR="00AF23C6">
              <w:rPr>
                <w:webHidden/>
              </w:rPr>
              <w:fldChar w:fldCharType="separate"/>
            </w:r>
            <w:r w:rsidR="00B6716B">
              <w:rPr>
                <w:webHidden/>
              </w:rPr>
              <w:t>2</w:t>
            </w:r>
            <w:r w:rsidR="00AF23C6">
              <w:rPr>
                <w:webHidden/>
              </w:rPr>
              <w:fldChar w:fldCharType="end"/>
            </w:r>
          </w:hyperlink>
        </w:p>
        <w:p w14:paraId="5983581B" w14:textId="290B64E9" w:rsidR="00AF23C6" w:rsidRDefault="00AB06F6">
          <w:pPr>
            <w:pStyle w:val="TOC1"/>
            <w:rPr>
              <w:rFonts w:eastAsiaTheme="minorEastAsia"/>
              <w:lang w:eastAsia="en-NZ"/>
            </w:rPr>
          </w:pPr>
          <w:hyperlink w:anchor="_Toc67752200" w:history="1">
            <w:r w:rsidR="00AF23C6" w:rsidRPr="00B1339D">
              <w:rPr>
                <w:rStyle w:val="Hyperlink"/>
                <w:lang w:val="en-GB"/>
              </w:rPr>
              <w:t>2</w:t>
            </w:r>
            <w:r w:rsidR="00AF23C6">
              <w:rPr>
                <w:rFonts w:eastAsiaTheme="minorEastAsia"/>
                <w:lang w:eastAsia="en-NZ"/>
              </w:rPr>
              <w:tab/>
            </w:r>
            <w:r w:rsidR="00AF23C6" w:rsidRPr="00B1339D">
              <w:rPr>
                <w:rStyle w:val="Hyperlink"/>
                <w:lang w:val="en-GB"/>
              </w:rPr>
              <w:t>Executive summary – transport</w:t>
            </w:r>
            <w:r w:rsidR="00AF23C6">
              <w:rPr>
                <w:webHidden/>
              </w:rPr>
              <w:tab/>
            </w:r>
            <w:r w:rsidR="00AF23C6">
              <w:rPr>
                <w:webHidden/>
              </w:rPr>
              <w:fldChar w:fldCharType="begin"/>
            </w:r>
            <w:r w:rsidR="00AF23C6">
              <w:rPr>
                <w:webHidden/>
              </w:rPr>
              <w:instrText xml:space="preserve"> PAGEREF _Toc67752200 \h </w:instrText>
            </w:r>
            <w:r w:rsidR="00AF23C6">
              <w:rPr>
                <w:webHidden/>
              </w:rPr>
            </w:r>
            <w:r w:rsidR="00AF23C6">
              <w:rPr>
                <w:webHidden/>
              </w:rPr>
              <w:fldChar w:fldCharType="separate"/>
            </w:r>
            <w:r w:rsidR="00B6716B">
              <w:rPr>
                <w:webHidden/>
              </w:rPr>
              <w:t>2</w:t>
            </w:r>
            <w:r w:rsidR="00AF23C6">
              <w:rPr>
                <w:webHidden/>
              </w:rPr>
              <w:fldChar w:fldCharType="end"/>
            </w:r>
          </w:hyperlink>
        </w:p>
        <w:p w14:paraId="1ED7E3A5" w14:textId="4EB95CDA" w:rsidR="00AF23C6" w:rsidRDefault="00AB06F6">
          <w:pPr>
            <w:pStyle w:val="TOC2"/>
            <w:tabs>
              <w:tab w:val="left" w:pos="880"/>
              <w:tab w:val="right" w:leader="dot" w:pos="9571"/>
            </w:tabs>
            <w:rPr>
              <w:rFonts w:eastAsiaTheme="minorEastAsia"/>
              <w:noProof/>
              <w:lang w:eastAsia="en-NZ"/>
            </w:rPr>
          </w:pPr>
          <w:hyperlink w:anchor="_Toc67752201" w:history="1">
            <w:r w:rsidR="00AF23C6" w:rsidRPr="00B1339D">
              <w:rPr>
                <w:rStyle w:val="Hyperlink"/>
                <w:noProof/>
                <w:lang w:val="en-GB"/>
              </w:rPr>
              <w:t>2.1</w:t>
            </w:r>
            <w:r w:rsidR="00AF23C6">
              <w:rPr>
                <w:rFonts w:eastAsiaTheme="minorEastAsia"/>
                <w:noProof/>
                <w:lang w:eastAsia="en-NZ"/>
              </w:rPr>
              <w:tab/>
            </w:r>
            <w:r w:rsidR="00AF23C6" w:rsidRPr="00B1339D">
              <w:rPr>
                <w:rStyle w:val="Hyperlink"/>
                <w:noProof/>
                <w:lang w:val="en-GB"/>
              </w:rPr>
              <w:t>Overall structure</w:t>
            </w:r>
            <w:r w:rsidR="00AF23C6">
              <w:rPr>
                <w:noProof/>
                <w:webHidden/>
              </w:rPr>
              <w:tab/>
            </w:r>
            <w:r w:rsidR="00AF23C6">
              <w:rPr>
                <w:noProof/>
                <w:webHidden/>
              </w:rPr>
              <w:fldChar w:fldCharType="begin"/>
            </w:r>
            <w:r w:rsidR="00AF23C6">
              <w:rPr>
                <w:noProof/>
                <w:webHidden/>
              </w:rPr>
              <w:instrText xml:space="preserve"> PAGEREF _Toc67752201 \h </w:instrText>
            </w:r>
            <w:r w:rsidR="00AF23C6">
              <w:rPr>
                <w:noProof/>
                <w:webHidden/>
              </w:rPr>
            </w:r>
            <w:r w:rsidR="00AF23C6">
              <w:rPr>
                <w:noProof/>
                <w:webHidden/>
              </w:rPr>
              <w:fldChar w:fldCharType="separate"/>
            </w:r>
            <w:r w:rsidR="00B6716B">
              <w:rPr>
                <w:noProof/>
                <w:webHidden/>
              </w:rPr>
              <w:t>2</w:t>
            </w:r>
            <w:r w:rsidR="00AF23C6">
              <w:rPr>
                <w:noProof/>
                <w:webHidden/>
              </w:rPr>
              <w:fldChar w:fldCharType="end"/>
            </w:r>
          </w:hyperlink>
        </w:p>
        <w:p w14:paraId="5B44F0A1" w14:textId="08E496C8" w:rsidR="00AF23C6" w:rsidRDefault="00AB06F6">
          <w:pPr>
            <w:pStyle w:val="TOC2"/>
            <w:tabs>
              <w:tab w:val="left" w:pos="880"/>
              <w:tab w:val="right" w:leader="dot" w:pos="9571"/>
            </w:tabs>
            <w:rPr>
              <w:rFonts w:eastAsiaTheme="minorEastAsia"/>
              <w:noProof/>
              <w:lang w:eastAsia="en-NZ"/>
            </w:rPr>
          </w:pPr>
          <w:hyperlink w:anchor="_Toc67752202" w:history="1">
            <w:r w:rsidR="00AF23C6" w:rsidRPr="00B1339D">
              <w:rPr>
                <w:rStyle w:val="Hyperlink"/>
                <w:noProof/>
                <w:lang w:val="en-GB"/>
              </w:rPr>
              <w:t>2.2</w:t>
            </w:r>
            <w:r w:rsidR="00AF23C6">
              <w:rPr>
                <w:rFonts w:eastAsiaTheme="minorEastAsia"/>
                <w:noProof/>
                <w:lang w:eastAsia="en-NZ"/>
              </w:rPr>
              <w:tab/>
            </w:r>
            <w:r w:rsidR="00AF23C6" w:rsidRPr="00B1339D">
              <w:rPr>
                <w:rStyle w:val="Hyperlink"/>
                <w:noProof/>
                <w:lang w:val="en-GB"/>
              </w:rPr>
              <w:t>CCC Transport Recommendation 1</w:t>
            </w:r>
            <w:r w:rsidR="00AF23C6">
              <w:rPr>
                <w:noProof/>
                <w:webHidden/>
              </w:rPr>
              <w:tab/>
            </w:r>
            <w:r w:rsidR="00AF23C6">
              <w:rPr>
                <w:noProof/>
                <w:webHidden/>
              </w:rPr>
              <w:fldChar w:fldCharType="begin"/>
            </w:r>
            <w:r w:rsidR="00AF23C6">
              <w:rPr>
                <w:noProof/>
                <w:webHidden/>
              </w:rPr>
              <w:instrText xml:space="preserve"> PAGEREF _Toc67752202 \h </w:instrText>
            </w:r>
            <w:r w:rsidR="00AF23C6">
              <w:rPr>
                <w:noProof/>
                <w:webHidden/>
              </w:rPr>
            </w:r>
            <w:r w:rsidR="00AF23C6">
              <w:rPr>
                <w:noProof/>
                <w:webHidden/>
              </w:rPr>
              <w:fldChar w:fldCharType="separate"/>
            </w:r>
            <w:r w:rsidR="00B6716B">
              <w:rPr>
                <w:noProof/>
                <w:webHidden/>
              </w:rPr>
              <w:t>2</w:t>
            </w:r>
            <w:r w:rsidR="00AF23C6">
              <w:rPr>
                <w:noProof/>
                <w:webHidden/>
              </w:rPr>
              <w:fldChar w:fldCharType="end"/>
            </w:r>
          </w:hyperlink>
        </w:p>
        <w:p w14:paraId="7ED03976" w14:textId="7771CA99" w:rsidR="00AF23C6" w:rsidRDefault="00AB06F6">
          <w:pPr>
            <w:pStyle w:val="TOC2"/>
            <w:tabs>
              <w:tab w:val="left" w:pos="880"/>
              <w:tab w:val="right" w:leader="dot" w:pos="9571"/>
            </w:tabs>
            <w:rPr>
              <w:rFonts w:eastAsiaTheme="minorEastAsia"/>
              <w:noProof/>
              <w:lang w:eastAsia="en-NZ"/>
            </w:rPr>
          </w:pPr>
          <w:hyperlink w:anchor="_Toc67752203" w:history="1">
            <w:r w:rsidR="00AF23C6" w:rsidRPr="00B1339D">
              <w:rPr>
                <w:rStyle w:val="Hyperlink"/>
                <w:noProof/>
                <w:lang w:val="en-GB"/>
              </w:rPr>
              <w:t>2.3</w:t>
            </w:r>
            <w:r w:rsidR="00AF23C6">
              <w:rPr>
                <w:rFonts w:eastAsiaTheme="minorEastAsia"/>
                <w:noProof/>
                <w:lang w:eastAsia="en-NZ"/>
              </w:rPr>
              <w:tab/>
            </w:r>
            <w:r w:rsidR="00AF23C6" w:rsidRPr="00B1339D">
              <w:rPr>
                <w:rStyle w:val="Hyperlink"/>
                <w:noProof/>
                <w:lang w:val="en-GB"/>
              </w:rPr>
              <w:t>CCC Transport Recommendation 2</w:t>
            </w:r>
            <w:r w:rsidR="00AF23C6">
              <w:rPr>
                <w:noProof/>
                <w:webHidden/>
              </w:rPr>
              <w:tab/>
            </w:r>
            <w:r w:rsidR="00AF23C6">
              <w:rPr>
                <w:noProof/>
                <w:webHidden/>
              </w:rPr>
              <w:fldChar w:fldCharType="begin"/>
            </w:r>
            <w:r w:rsidR="00AF23C6">
              <w:rPr>
                <w:noProof/>
                <w:webHidden/>
              </w:rPr>
              <w:instrText xml:space="preserve"> PAGEREF _Toc67752203 \h </w:instrText>
            </w:r>
            <w:r w:rsidR="00AF23C6">
              <w:rPr>
                <w:noProof/>
                <w:webHidden/>
              </w:rPr>
            </w:r>
            <w:r w:rsidR="00AF23C6">
              <w:rPr>
                <w:noProof/>
                <w:webHidden/>
              </w:rPr>
              <w:fldChar w:fldCharType="separate"/>
            </w:r>
            <w:r w:rsidR="00B6716B">
              <w:rPr>
                <w:noProof/>
                <w:webHidden/>
              </w:rPr>
              <w:t>3</w:t>
            </w:r>
            <w:r w:rsidR="00AF23C6">
              <w:rPr>
                <w:noProof/>
                <w:webHidden/>
              </w:rPr>
              <w:fldChar w:fldCharType="end"/>
            </w:r>
          </w:hyperlink>
        </w:p>
        <w:p w14:paraId="15395011" w14:textId="4BC3107F" w:rsidR="00AF23C6" w:rsidRDefault="00AB06F6">
          <w:pPr>
            <w:pStyle w:val="TOC2"/>
            <w:tabs>
              <w:tab w:val="left" w:pos="880"/>
              <w:tab w:val="right" w:leader="dot" w:pos="9571"/>
            </w:tabs>
            <w:rPr>
              <w:rFonts w:eastAsiaTheme="minorEastAsia"/>
              <w:noProof/>
              <w:lang w:eastAsia="en-NZ"/>
            </w:rPr>
          </w:pPr>
          <w:hyperlink w:anchor="_Toc67752204" w:history="1">
            <w:r w:rsidR="00AF23C6" w:rsidRPr="00B1339D">
              <w:rPr>
                <w:rStyle w:val="Hyperlink"/>
                <w:noProof/>
                <w:lang w:val="en-GB"/>
              </w:rPr>
              <w:t>2.4</w:t>
            </w:r>
            <w:r w:rsidR="00AF23C6">
              <w:rPr>
                <w:rFonts w:eastAsiaTheme="minorEastAsia"/>
                <w:noProof/>
                <w:lang w:eastAsia="en-NZ"/>
              </w:rPr>
              <w:tab/>
            </w:r>
            <w:r w:rsidR="00AF23C6" w:rsidRPr="00B1339D">
              <w:rPr>
                <w:rStyle w:val="Hyperlink"/>
                <w:noProof/>
                <w:lang w:val="en-GB"/>
              </w:rPr>
              <w:t>CCC Transport Recommendation 3 (p.15)</w:t>
            </w:r>
            <w:r w:rsidR="00AF23C6">
              <w:rPr>
                <w:noProof/>
                <w:webHidden/>
              </w:rPr>
              <w:tab/>
            </w:r>
            <w:r w:rsidR="00AF23C6">
              <w:rPr>
                <w:noProof/>
                <w:webHidden/>
              </w:rPr>
              <w:fldChar w:fldCharType="begin"/>
            </w:r>
            <w:r w:rsidR="00AF23C6">
              <w:rPr>
                <w:noProof/>
                <w:webHidden/>
              </w:rPr>
              <w:instrText xml:space="preserve"> PAGEREF _Toc67752204 \h </w:instrText>
            </w:r>
            <w:r w:rsidR="00AF23C6">
              <w:rPr>
                <w:noProof/>
                <w:webHidden/>
              </w:rPr>
            </w:r>
            <w:r w:rsidR="00AF23C6">
              <w:rPr>
                <w:noProof/>
                <w:webHidden/>
              </w:rPr>
              <w:fldChar w:fldCharType="separate"/>
            </w:r>
            <w:r w:rsidR="00B6716B">
              <w:rPr>
                <w:noProof/>
                <w:webHidden/>
              </w:rPr>
              <w:t>3</w:t>
            </w:r>
            <w:r w:rsidR="00AF23C6">
              <w:rPr>
                <w:noProof/>
                <w:webHidden/>
              </w:rPr>
              <w:fldChar w:fldCharType="end"/>
            </w:r>
          </w:hyperlink>
        </w:p>
        <w:p w14:paraId="52C15ABD" w14:textId="1DF9CE74" w:rsidR="00AF23C6" w:rsidRDefault="00AB06F6">
          <w:pPr>
            <w:pStyle w:val="TOC1"/>
            <w:rPr>
              <w:rFonts w:eastAsiaTheme="minorEastAsia"/>
              <w:lang w:eastAsia="en-NZ"/>
            </w:rPr>
          </w:pPr>
          <w:hyperlink w:anchor="_Toc67752205" w:history="1">
            <w:r w:rsidR="00AF23C6" w:rsidRPr="00B1339D">
              <w:rPr>
                <w:rStyle w:val="Hyperlink"/>
                <w:lang w:val="en-GB"/>
              </w:rPr>
              <w:t>3</w:t>
            </w:r>
            <w:r w:rsidR="00AF23C6">
              <w:rPr>
                <w:rFonts w:eastAsiaTheme="minorEastAsia"/>
                <w:lang w:eastAsia="en-NZ"/>
              </w:rPr>
              <w:tab/>
            </w:r>
            <w:r w:rsidR="00AF23C6" w:rsidRPr="00B1339D">
              <w:rPr>
                <w:rStyle w:val="Hyperlink"/>
                <w:lang w:val="en-GB"/>
              </w:rPr>
              <w:t>Chapter 3: what a path to 2035 looks like in transport (3.8.1)</w:t>
            </w:r>
            <w:r w:rsidR="00AF23C6">
              <w:rPr>
                <w:webHidden/>
              </w:rPr>
              <w:tab/>
            </w:r>
            <w:r w:rsidR="00AF23C6">
              <w:rPr>
                <w:webHidden/>
              </w:rPr>
              <w:fldChar w:fldCharType="begin"/>
            </w:r>
            <w:r w:rsidR="00AF23C6">
              <w:rPr>
                <w:webHidden/>
              </w:rPr>
              <w:instrText xml:space="preserve"> PAGEREF _Toc67752205 \h </w:instrText>
            </w:r>
            <w:r w:rsidR="00AF23C6">
              <w:rPr>
                <w:webHidden/>
              </w:rPr>
            </w:r>
            <w:r w:rsidR="00AF23C6">
              <w:rPr>
                <w:webHidden/>
              </w:rPr>
              <w:fldChar w:fldCharType="separate"/>
            </w:r>
            <w:r w:rsidR="00B6716B">
              <w:rPr>
                <w:webHidden/>
              </w:rPr>
              <w:t>3</w:t>
            </w:r>
            <w:r w:rsidR="00AF23C6">
              <w:rPr>
                <w:webHidden/>
              </w:rPr>
              <w:fldChar w:fldCharType="end"/>
            </w:r>
          </w:hyperlink>
        </w:p>
        <w:p w14:paraId="5EC2F833" w14:textId="188D8E5A" w:rsidR="00AF23C6" w:rsidRDefault="00AB06F6">
          <w:pPr>
            <w:pStyle w:val="TOC1"/>
            <w:rPr>
              <w:rFonts w:eastAsiaTheme="minorEastAsia"/>
              <w:lang w:eastAsia="en-NZ"/>
            </w:rPr>
          </w:pPr>
          <w:hyperlink w:anchor="_Toc67752206" w:history="1">
            <w:r w:rsidR="00AF23C6" w:rsidRPr="00B1339D">
              <w:rPr>
                <w:rStyle w:val="Hyperlink"/>
                <w:lang w:val="en-GB"/>
              </w:rPr>
              <w:t>4</w:t>
            </w:r>
            <w:r w:rsidR="00AF23C6">
              <w:rPr>
                <w:rFonts w:eastAsiaTheme="minorEastAsia"/>
                <w:lang w:eastAsia="en-NZ"/>
              </w:rPr>
              <w:tab/>
            </w:r>
            <w:r w:rsidR="00AF23C6" w:rsidRPr="00B1339D">
              <w:rPr>
                <w:rStyle w:val="Hyperlink"/>
                <w:lang w:val="en-GB"/>
              </w:rPr>
              <w:t>Chapter 6: Direction of policy in the Government’s emissions reduction plan: transport</w:t>
            </w:r>
            <w:r w:rsidR="00AF23C6">
              <w:rPr>
                <w:webHidden/>
              </w:rPr>
              <w:tab/>
            </w:r>
            <w:r w:rsidR="00AF23C6">
              <w:rPr>
                <w:webHidden/>
              </w:rPr>
              <w:fldChar w:fldCharType="begin"/>
            </w:r>
            <w:r w:rsidR="00AF23C6">
              <w:rPr>
                <w:webHidden/>
              </w:rPr>
              <w:instrText xml:space="preserve"> PAGEREF _Toc67752206 \h </w:instrText>
            </w:r>
            <w:r w:rsidR="00AF23C6">
              <w:rPr>
                <w:webHidden/>
              </w:rPr>
            </w:r>
            <w:r w:rsidR="00AF23C6">
              <w:rPr>
                <w:webHidden/>
              </w:rPr>
              <w:fldChar w:fldCharType="separate"/>
            </w:r>
            <w:r w:rsidR="00B6716B">
              <w:rPr>
                <w:webHidden/>
              </w:rPr>
              <w:t>5</w:t>
            </w:r>
            <w:r w:rsidR="00AF23C6">
              <w:rPr>
                <w:webHidden/>
              </w:rPr>
              <w:fldChar w:fldCharType="end"/>
            </w:r>
          </w:hyperlink>
        </w:p>
        <w:p w14:paraId="78B899CF" w14:textId="13B3E083" w:rsidR="00AF23C6" w:rsidRDefault="00AB06F6">
          <w:pPr>
            <w:pStyle w:val="TOC1"/>
            <w:rPr>
              <w:rFonts w:eastAsiaTheme="minorEastAsia"/>
              <w:lang w:eastAsia="en-NZ"/>
            </w:rPr>
          </w:pPr>
          <w:hyperlink w:anchor="_Toc67752207" w:history="1">
            <w:r w:rsidR="00AF23C6" w:rsidRPr="00B1339D">
              <w:rPr>
                <w:rStyle w:val="Hyperlink"/>
              </w:rPr>
              <w:t>5</w:t>
            </w:r>
            <w:r w:rsidR="00AF23C6">
              <w:rPr>
                <w:rFonts w:eastAsiaTheme="minorEastAsia"/>
                <w:lang w:eastAsia="en-NZ"/>
              </w:rPr>
              <w:tab/>
            </w:r>
            <w:r w:rsidR="00AF23C6" w:rsidRPr="00B1339D">
              <w:rPr>
                <w:rStyle w:val="Hyperlink"/>
              </w:rPr>
              <w:t>Evidence Report Chapter 4b.1 Transport</w:t>
            </w:r>
            <w:r w:rsidR="00AF23C6">
              <w:rPr>
                <w:webHidden/>
              </w:rPr>
              <w:tab/>
            </w:r>
            <w:r w:rsidR="00AF23C6">
              <w:rPr>
                <w:webHidden/>
              </w:rPr>
              <w:fldChar w:fldCharType="begin"/>
            </w:r>
            <w:r w:rsidR="00AF23C6">
              <w:rPr>
                <w:webHidden/>
              </w:rPr>
              <w:instrText xml:space="preserve"> PAGEREF _Toc67752207 \h </w:instrText>
            </w:r>
            <w:r w:rsidR="00AF23C6">
              <w:rPr>
                <w:webHidden/>
              </w:rPr>
            </w:r>
            <w:r w:rsidR="00AF23C6">
              <w:rPr>
                <w:webHidden/>
              </w:rPr>
              <w:fldChar w:fldCharType="separate"/>
            </w:r>
            <w:r w:rsidR="00B6716B">
              <w:rPr>
                <w:webHidden/>
              </w:rPr>
              <w:t>7</w:t>
            </w:r>
            <w:r w:rsidR="00AF23C6">
              <w:rPr>
                <w:webHidden/>
              </w:rPr>
              <w:fldChar w:fldCharType="end"/>
            </w:r>
          </w:hyperlink>
        </w:p>
        <w:p w14:paraId="5CF19FDF" w14:textId="25A58EC2" w:rsidR="00AF23C6" w:rsidRDefault="00AB06F6">
          <w:pPr>
            <w:pStyle w:val="TOC2"/>
            <w:tabs>
              <w:tab w:val="left" w:pos="880"/>
              <w:tab w:val="right" w:leader="dot" w:pos="9571"/>
            </w:tabs>
            <w:rPr>
              <w:rFonts w:eastAsiaTheme="minorEastAsia"/>
              <w:noProof/>
              <w:lang w:eastAsia="en-NZ"/>
            </w:rPr>
          </w:pPr>
          <w:hyperlink w:anchor="_Toc67752208" w:history="1">
            <w:r w:rsidR="00AF23C6" w:rsidRPr="00B1339D">
              <w:rPr>
                <w:rStyle w:val="Hyperlink"/>
                <w:noProof/>
              </w:rPr>
              <w:t>5.1</w:t>
            </w:r>
            <w:r w:rsidR="00AF23C6">
              <w:rPr>
                <w:rFonts w:eastAsiaTheme="minorEastAsia"/>
                <w:noProof/>
                <w:lang w:eastAsia="en-NZ"/>
              </w:rPr>
              <w:tab/>
            </w:r>
            <w:r w:rsidR="00AF23C6" w:rsidRPr="00B1339D">
              <w:rPr>
                <w:rStyle w:val="Hyperlink"/>
                <w:noProof/>
              </w:rPr>
              <w:t>4b.1.1 Focus on Auckland</w:t>
            </w:r>
            <w:r w:rsidR="00AF23C6">
              <w:rPr>
                <w:noProof/>
                <w:webHidden/>
              </w:rPr>
              <w:tab/>
            </w:r>
            <w:r w:rsidR="00AF23C6">
              <w:rPr>
                <w:noProof/>
                <w:webHidden/>
              </w:rPr>
              <w:fldChar w:fldCharType="begin"/>
            </w:r>
            <w:r w:rsidR="00AF23C6">
              <w:rPr>
                <w:noProof/>
                <w:webHidden/>
              </w:rPr>
              <w:instrText xml:space="preserve"> PAGEREF _Toc67752208 \h </w:instrText>
            </w:r>
            <w:r w:rsidR="00AF23C6">
              <w:rPr>
                <w:noProof/>
                <w:webHidden/>
              </w:rPr>
            </w:r>
            <w:r w:rsidR="00AF23C6">
              <w:rPr>
                <w:noProof/>
                <w:webHidden/>
              </w:rPr>
              <w:fldChar w:fldCharType="separate"/>
            </w:r>
            <w:r w:rsidR="00B6716B">
              <w:rPr>
                <w:noProof/>
                <w:webHidden/>
              </w:rPr>
              <w:t>7</w:t>
            </w:r>
            <w:r w:rsidR="00AF23C6">
              <w:rPr>
                <w:noProof/>
                <w:webHidden/>
              </w:rPr>
              <w:fldChar w:fldCharType="end"/>
            </w:r>
          </w:hyperlink>
        </w:p>
        <w:p w14:paraId="3C8F09A6" w14:textId="689963DC" w:rsidR="00AF23C6" w:rsidRDefault="00AB06F6">
          <w:pPr>
            <w:pStyle w:val="TOC2"/>
            <w:tabs>
              <w:tab w:val="left" w:pos="880"/>
              <w:tab w:val="right" w:leader="dot" w:pos="9571"/>
            </w:tabs>
            <w:rPr>
              <w:rFonts w:eastAsiaTheme="minorEastAsia"/>
              <w:noProof/>
              <w:lang w:eastAsia="en-NZ"/>
            </w:rPr>
          </w:pPr>
          <w:hyperlink w:anchor="_Toc67752209" w:history="1">
            <w:r w:rsidR="00AF23C6" w:rsidRPr="00B1339D">
              <w:rPr>
                <w:rStyle w:val="Hyperlink"/>
                <w:noProof/>
              </w:rPr>
              <w:t>5.2</w:t>
            </w:r>
            <w:r w:rsidR="00AF23C6">
              <w:rPr>
                <w:rFonts w:eastAsiaTheme="minorEastAsia"/>
                <w:noProof/>
                <w:lang w:eastAsia="en-NZ"/>
              </w:rPr>
              <w:tab/>
            </w:r>
            <w:r w:rsidR="00AF23C6" w:rsidRPr="00B1339D">
              <w:rPr>
                <w:rStyle w:val="Hyperlink"/>
                <w:noProof/>
              </w:rPr>
              <w:t>4b.1.2 Options for reducing emissions</w:t>
            </w:r>
            <w:r w:rsidR="00AF23C6">
              <w:rPr>
                <w:noProof/>
                <w:webHidden/>
              </w:rPr>
              <w:tab/>
            </w:r>
            <w:r w:rsidR="00AF23C6">
              <w:rPr>
                <w:noProof/>
                <w:webHidden/>
              </w:rPr>
              <w:fldChar w:fldCharType="begin"/>
            </w:r>
            <w:r w:rsidR="00AF23C6">
              <w:rPr>
                <w:noProof/>
                <w:webHidden/>
              </w:rPr>
              <w:instrText xml:space="preserve"> PAGEREF _Toc67752209 \h </w:instrText>
            </w:r>
            <w:r w:rsidR="00AF23C6">
              <w:rPr>
                <w:noProof/>
                <w:webHidden/>
              </w:rPr>
            </w:r>
            <w:r w:rsidR="00AF23C6">
              <w:rPr>
                <w:noProof/>
                <w:webHidden/>
              </w:rPr>
              <w:fldChar w:fldCharType="separate"/>
            </w:r>
            <w:r w:rsidR="00B6716B">
              <w:rPr>
                <w:noProof/>
                <w:webHidden/>
              </w:rPr>
              <w:t>8</w:t>
            </w:r>
            <w:r w:rsidR="00AF23C6">
              <w:rPr>
                <w:noProof/>
                <w:webHidden/>
              </w:rPr>
              <w:fldChar w:fldCharType="end"/>
            </w:r>
          </w:hyperlink>
        </w:p>
        <w:p w14:paraId="567204C3" w14:textId="080C3C75" w:rsidR="00AF23C6" w:rsidRDefault="00AB06F6">
          <w:pPr>
            <w:pStyle w:val="TOC2"/>
            <w:tabs>
              <w:tab w:val="left" w:pos="880"/>
              <w:tab w:val="right" w:leader="dot" w:pos="9571"/>
            </w:tabs>
            <w:rPr>
              <w:rFonts w:eastAsiaTheme="minorEastAsia"/>
              <w:noProof/>
              <w:lang w:eastAsia="en-NZ"/>
            </w:rPr>
          </w:pPr>
          <w:hyperlink w:anchor="_Toc67752210" w:history="1">
            <w:r w:rsidR="00AF23C6" w:rsidRPr="00B1339D">
              <w:rPr>
                <w:rStyle w:val="Hyperlink"/>
                <w:noProof/>
              </w:rPr>
              <w:t>5.3</w:t>
            </w:r>
            <w:r w:rsidR="00AF23C6">
              <w:rPr>
                <w:rFonts w:eastAsiaTheme="minorEastAsia"/>
                <w:noProof/>
                <w:lang w:eastAsia="en-NZ"/>
              </w:rPr>
              <w:tab/>
            </w:r>
            <w:r w:rsidR="00AF23C6" w:rsidRPr="00B1339D">
              <w:rPr>
                <w:rStyle w:val="Hyperlink"/>
                <w:noProof/>
              </w:rPr>
              <w:t>4b.2 Urban form</w:t>
            </w:r>
            <w:r w:rsidR="00AF23C6">
              <w:rPr>
                <w:noProof/>
                <w:webHidden/>
              </w:rPr>
              <w:tab/>
            </w:r>
            <w:r w:rsidR="00AF23C6">
              <w:rPr>
                <w:noProof/>
                <w:webHidden/>
              </w:rPr>
              <w:fldChar w:fldCharType="begin"/>
            </w:r>
            <w:r w:rsidR="00AF23C6">
              <w:rPr>
                <w:noProof/>
                <w:webHidden/>
              </w:rPr>
              <w:instrText xml:space="preserve"> PAGEREF _Toc67752210 \h </w:instrText>
            </w:r>
            <w:r w:rsidR="00AF23C6">
              <w:rPr>
                <w:noProof/>
                <w:webHidden/>
              </w:rPr>
            </w:r>
            <w:r w:rsidR="00AF23C6">
              <w:rPr>
                <w:noProof/>
                <w:webHidden/>
              </w:rPr>
              <w:fldChar w:fldCharType="separate"/>
            </w:r>
            <w:r w:rsidR="00B6716B">
              <w:rPr>
                <w:noProof/>
                <w:webHidden/>
              </w:rPr>
              <w:t>10</w:t>
            </w:r>
            <w:r w:rsidR="00AF23C6">
              <w:rPr>
                <w:noProof/>
                <w:webHidden/>
              </w:rPr>
              <w:fldChar w:fldCharType="end"/>
            </w:r>
          </w:hyperlink>
        </w:p>
        <w:p w14:paraId="6F2D9669" w14:textId="1055742B" w:rsidR="00AF23C6" w:rsidRDefault="00AB06F6">
          <w:pPr>
            <w:pStyle w:val="TOC1"/>
            <w:rPr>
              <w:rFonts w:eastAsiaTheme="minorEastAsia"/>
              <w:lang w:eastAsia="en-NZ"/>
            </w:rPr>
          </w:pPr>
          <w:hyperlink w:anchor="_Toc67752211" w:history="1">
            <w:r w:rsidR="00AF23C6" w:rsidRPr="00B1339D">
              <w:rPr>
                <w:rStyle w:val="Hyperlink"/>
              </w:rPr>
              <w:t>6</w:t>
            </w:r>
            <w:r w:rsidR="00AF23C6">
              <w:rPr>
                <w:rFonts w:eastAsiaTheme="minorEastAsia"/>
                <w:lang w:eastAsia="en-NZ"/>
              </w:rPr>
              <w:tab/>
            </w:r>
            <w:r w:rsidR="00AF23C6" w:rsidRPr="00B1339D">
              <w:rPr>
                <w:rStyle w:val="Hyperlink"/>
              </w:rPr>
              <w:t>References</w:t>
            </w:r>
            <w:r w:rsidR="00AF23C6">
              <w:rPr>
                <w:webHidden/>
              </w:rPr>
              <w:tab/>
            </w:r>
            <w:r w:rsidR="00AF23C6">
              <w:rPr>
                <w:webHidden/>
              </w:rPr>
              <w:fldChar w:fldCharType="begin"/>
            </w:r>
            <w:r w:rsidR="00AF23C6">
              <w:rPr>
                <w:webHidden/>
              </w:rPr>
              <w:instrText xml:space="preserve"> PAGEREF _Toc67752211 \h </w:instrText>
            </w:r>
            <w:r w:rsidR="00AF23C6">
              <w:rPr>
                <w:webHidden/>
              </w:rPr>
            </w:r>
            <w:r w:rsidR="00AF23C6">
              <w:rPr>
                <w:webHidden/>
              </w:rPr>
              <w:fldChar w:fldCharType="separate"/>
            </w:r>
            <w:r w:rsidR="00B6716B">
              <w:rPr>
                <w:webHidden/>
              </w:rPr>
              <w:t>10</w:t>
            </w:r>
            <w:r w:rsidR="00AF23C6">
              <w:rPr>
                <w:webHidden/>
              </w:rPr>
              <w:fldChar w:fldCharType="end"/>
            </w:r>
          </w:hyperlink>
        </w:p>
        <w:p w14:paraId="5FDC3ABF" w14:textId="42F037B9" w:rsidR="00451DC2" w:rsidRDefault="002E2419" w:rsidP="00451DC2">
          <w:r>
            <w:rPr>
              <w:rFonts w:eastAsiaTheme="minorHAnsi"/>
              <w:szCs w:val="22"/>
            </w:rPr>
            <w:fldChar w:fldCharType="end"/>
          </w:r>
        </w:p>
      </w:sdtContent>
    </w:sdt>
    <w:p w14:paraId="45EE543C" w14:textId="63225DF5" w:rsidR="006E32D5" w:rsidRDefault="006E32D5" w:rsidP="006E32D5">
      <w:pPr>
        <w:rPr>
          <w:lang w:val="en-GB"/>
        </w:rPr>
      </w:pPr>
    </w:p>
    <w:p w14:paraId="3BE1AFF2" w14:textId="287728D5" w:rsidR="006E32D5" w:rsidRDefault="006E32D5" w:rsidP="006E32D5">
      <w:pPr>
        <w:rPr>
          <w:lang w:val="en-GB"/>
        </w:rPr>
      </w:pPr>
    </w:p>
    <w:p w14:paraId="7E662FFE" w14:textId="55438FC5" w:rsidR="006E32D5" w:rsidRDefault="00CD4FC7" w:rsidP="006E32D5">
      <w:pPr>
        <w:rPr>
          <w:lang w:val="en-GB"/>
        </w:rPr>
      </w:pPr>
      <w:r>
        <w:rPr>
          <w:lang w:val="en-GB"/>
        </w:rPr>
        <w:t>THE STRUCTURE OF THIS SUBMISSION IS:</w:t>
      </w:r>
    </w:p>
    <w:p w14:paraId="0EDA8088" w14:textId="77777777" w:rsidR="006E32D5" w:rsidRDefault="006E32D5" w:rsidP="00CD4FC7">
      <w:pPr>
        <w:pStyle w:val="Quote"/>
        <w:ind w:left="0"/>
        <w:jc w:val="left"/>
        <w:rPr>
          <w:lang w:val="en-GB"/>
        </w:rPr>
      </w:pPr>
      <w:r>
        <w:rPr>
          <w:lang w:val="en-GB"/>
        </w:rPr>
        <w:t>Quote from the CCC consultation materials</w:t>
      </w:r>
    </w:p>
    <w:p w14:paraId="6F81904F" w14:textId="18B82867" w:rsidR="006E32D5" w:rsidRDefault="002E2419" w:rsidP="006E32D5">
      <w:pPr>
        <w:rPr>
          <w:lang w:val="en-GB"/>
        </w:rPr>
      </w:pPr>
      <w:r>
        <w:rPr>
          <w:lang w:val="en-GB"/>
        </w:rPr>
        <w:t>Our d</w:t>
      </w:r>
      <w:r w:rsidR="006E32D5">
        <w:rPr>
          <w:lang w:val="en-GB"/>
        </w:rPr>
        <w:t>iscussion</w:t>
      </w:r>
    </w:p>
    <w:p w14:paraId="588A1BA9" w14:textId="6D54274F" w:rsidR="006E32D5" w:rsidRDefault="006E32D5" w:rsidP="006E32D5">
      <w:pPr>
        <w:shd w:val="clear" w:color="auto" w:fill="C5E0B3" w:themeFill="accent6" w:themeFillTint="66"/>
        <w:rPr>
          <w:lang w:val="en-GB"/>
        </w:rPr>
      </w:pPr>
      <w:r>
        <w:rPr>
          <w:lang w:val="en-GB"/>
        </w:rPr>
        <w:t>Transportation Group recommendation</w:t>
      </w:r>
      <w:r w:rsidR="002E2419">
        <w:rPr>
          <w:lang w:val="en-GB"/>
        </w:rPr>
        <w:t>(s)</w:t>
      </w:r>
      <w:r>
        <w:rPr>
          <w:lang w:val="en-GB"/>
        </w:rPr>
        <w:t xml:space="preserve"> to CCC</w:t>
      </w:r>
    </w:p>
    <w:p w14:paraId="30D4F61A" w14:textId="583D71AC" w:rsidR="006E32D5" w:rsidRDefault="006E32D5" w:rsidP="006E32D5">
      <w:pPr>
        <w:rPr>
          <w:lang w:val="en-GB"/>
        </w:rPr>
      </w:pPr>
    </w:p>
    <w:p w14:paraId="76B14C02" w14:textId="713A92D8" w:rsidR="00AC5700" w:rsidRDefault="00AC5700" w:rsidP="006E32D5"/>
    <w:p w14:paraId="6F204C0C" w14:textId="77777777" w:rsidR="00AC5700" w:rsidRDefault="00AC5700" w:rsidP="006E32D5">
      <w:pPr>
        <w:rPr>
          <w:lang w:val="en-GB"/>
        </w:rPr>
      </w:pPr>
    </w:p>
    <w:p w14:paraId="1EC6999D" w14:textId="3A25169F" w:rsidR="00451DC2" w:rsidRDefault="00451DC2" w:rsidP="00C86601">
      <w:pPr>
        <w:pStyle w:val="Heading1"/>
        <w:pageBreakBefore/>
        <w:rPr>
          <w:lang w:val="en-GB"/>
        </w:rPr>
      </w:pPr>
      <w:bookmarkStart w:id="0" w:name="_Toc67752199"/>
      <w:r>
        <w:rPr>
          <w:lang w:val="en-GB"/>
        </w:rPr>
        <w:lastRenderedPageBreak/>
        <w:t>Introduction</w:t>
      </w:r>
      <w:bookmarkEnd w:id="0"/>
    </w:p>
    <w:p w14:paraId="43FFE8E9" w14:textId="77777777" w:rsidR="00451DC2" w:rsidRDefault="00451DC2" w:rsidP="00451DC2">
      <w:pPr>
        <w:rPr>
          <w:lang w:val="en-GB"/>
        </w:rPr>
      </w:pPr>
      <w:r>
        <w:rPr>
          <w:lang w:val="en-GB"/>
        </w:rPr>
        <w:t xml:space="preserve">The Transportation Group welcomes the opportunity to provide input on the 2021 Draft Advice for Consultation, produced by the Climate Change Commission </w:t>
      </w:r>
      <w:r w:rsidRPr="005C5D9E">
        <w:rPr>
          <w:lang w:val="en-GB"/>
        </w:rPr>
        <w:t>He Pou a Rangi</w:t>
      </w:r>
      <w:r>
        <w:rPr>
          <w:lang w:val="en-GB"/>
        </w:rPr>
        <w:t xml:space="preserve"> (CCC).</w:t>
      </w:r>
    </w:p>
    <w:p w14:paraId="4B971A6B" w14:textId="7E61495B" w:rsidR="00451DC2" w:rsidRDefault="0DDE33E6" w:rsidP="00451DC2">
      <w:pPr>
        <w:rPr>
          <w:lang w:val="en-GB"/>
        </w:rPr>
      </w:pPr>
      <w:r w:rsidRPr="234D1892">
        <w:rPr>
          <w:lang w:val="en-GB"/>
        </w:rPr>
        <w:t xml:space="preserve">The Transportation Group is a Technical Interest Group of Engineering New Zealand, with over 1,100 members.  The Group was formerly known as the IPENZ Transportation Group. More information about the Transportation Group is </w:t>
      </w:r>
      <w:hyperlink r:id="rId12">
        <w:r w:rsidRPr="234D1892">
          <w:rPr>
            <w:rStyle w:val="Hyperlink"/>
            <w:lang w:val="en-GB"/>
          </w:rPr>
          <w:t>available online</w:t>
        </w:r>
      </w:hyperlink>
      <w:r w:rsidRPr="234D1892">
        <w:rPr>
          <w:lang w:val="en-GB"/>
        </w:rPr>
        <w:t>.</w:t>
      </w:r>
      <w:r w:rsidR="04BE0D7C" w:rsidRPr="234D1892">
        <w:rPr>
          <w:lang w:val="en-GB"/>
        </w:rPr>
        <w:t xml:space="preserve"> Please note that this submission </w:t>
      </w:r>
      <w:r w:rsidR="20F18D65" w:rsidRPr="234D1892">
        <w:rPr>
          <w:lang w:val="en-GB"/>
        </w:rPr>
        <w:t xml:space="preserve">has been prepared by a special subcommittee established </w:t>
      </w:r>
      <w:r w:rsidR="0002548D">
        <w:rPr>
          <w:lang w:val="en-GB"/>
        </w:rPr>
        <w:t>for that purpose</w:t>
      </w:r>
      <w:r w:rsidR="20F18D65" w:rsidRPr="234D1892">
        <w:rPr>
          <w:lang w:val="en-GB"/>
        </w:rPr>
        <w:t xml:space="preserve"> </w:t>
      </w:r>
      <w:r w:rsidR="0002548D">
        <w:rPr>
          <w:lang w:val="en-GB"/>
        </w:rPr>
        <w:t>I</w:t>
      </w:r>
      <w:r w:rsidR="20F18D65" w:rsidRPr="234D1892">
        <w:rPr>
          <w:lang w:val="en-GB"/>
        </w:rPr>
        <w:t xml:space="preserve">t </w:t>
      </w:r>
      <w:r w:rsidR="04BE0D7C" w:rsidRPr="234D1892">
        <w:rPr>
          <w:lang w:val="en-GB"/>
        </w:rPr>
        <w:t xml:space="preserve">has been approved by the </w:t>
      </w:r>
      <w:r w:rsidR="0002548D">
        <w:rPr>
          <w:lang w:val="en-GB"/>
        </w:rPr>
        <w:t>Chair (Jeanette Ward) and Vice Chair (Bridget Burdett) of the Group</w:t>
      </w:r>
      <w:r w:rsidR="0737BA64" w:rsidRPr="234D1892">
        <w:rPr>
          <w:lang w:val="en-GB"/>
        </w:rPr>
        <w:t xml:space="preserve"> but has not been reviewed</w:t>
      </w:r>
      <w:r w:rsidR="0002548D">
        <w:rPr>
          <w:lang w:val="en-GB"/>
        </w:rPr>
        <w:t xml:space="preserve"> or endorsed</w:t>
      </w:r>
      <w:r w:rsidR="0737BA64" w:rsidRPr="234D1892">
        <w:rPr>
          <w:lang w:val="en-GB"/>
        </w:rPr>
        <w:t xml:space="preserve"> by the entire membership.</w:t>
      </w:r>
      <w:r w:rsidR="63DEF378" w:rsidRPr="234D1892">
        <w:rPr>
          <w:lang w:val="en-GB"/>
        </w:rPr>
        <w:t xml:space="preserve"> </w:t>
      </w:r>
    </w:p>
    <w:p w14:paraId="6AA4C4ED" w14:textId="0D234403" w:rsidR="006C44EF" w:rsidRPr="00A74652" w:rsidRDefault="00451DC2" w:rsidP="00507385">
      <w:pPr>
        <w:pStyle w:val="Bullet"/>
        <w:numPr>
          <w:ilvl w:val="0"/>
          <w:numId w:val="0"/>
        </w:numPr>
        <w:rPr>
          <w:lang w:val="en-GB"/>
        </w:rPr>
      </w:pPr>
      <w:r w:rsidRPr="00A74652">
        <w:rPr>
          <w:lang w:val="en-GB"/>
        </w:rPr>
        <w:t>Due to the focus of our membership, we provide our feedback o</w:t>
      </w:r>
      <w:r w:rsidR="006C44EF" w:rsidRPr="00A74652">
        <w:rPr>
          <w:lang w:val="en-GB"/>
        </w:rPr>
        <w:t>n:</w:t>
      </w:r>
    </w:p>
    <w:p w14:paraId="34E2E69E" w14:textId="05F526DF" w:rsidR="007741D2" w:rsidRPr="00A74652" w:rsidRDefault="006C44EF" w:rsidP="00C31EF9">
      <w:pPr>
        <w:pStyle w:val="Bullet"/>
        <w:rPr>
          <w:lang w:val="en-GB"/>
        </w:rPr>
      </w:pPr>
      <w:r w:rsidRPr="00A74652">
        <w:rPr>
          <w:lang w:val="en-GB"/>
        </w:rPr>
        <w:t xml:space="preserve">Draft Advice </w:t>
      </w:r>
      <w:r w:rsidR="007741D2" w:rsidRPr="00A74652">
        <w:rPr>
          <w:lang w:val="en-GB"/>
        </w:rPr>
        <w:t>Executive Summary – Transport</w:t>
      </w:r>
    </w:p>
    <w:p w14:paraId="00CE35E1" w14:textId="77777777" w:rsidR="00D965CD" w:rsidRPr="00A74652" w:rsidRDefault="007741D2" w:rsidP="00C31EF9">
      <w:pPr>
        <w:pStyle w:val="Bullet"/>
        <w:rPr>
          <w:lang w:val="en-GB"/>
        </w:rPr>
      </w:pPr>
      <w:r w:rsidRPr="00A74652">
        <w:rPr>
          <w:lang w:val="en-GB"/>
        </w:rPr>
        <w:t xml:space="preserve">Draft Advice Chapter </w:t>
      </w:r>
      <w:r w:rsidR="00313C32" w:rsidRPr="00A74652">
        <w:rPr>
          <w:lang w:val="en-GB"/>
        </w:rPr>
        <w:t xml:space="preserve">3: the path to 2035 section </w:t>
      </w:r>
      <w:r w:rsidR="00D965CD" w:rsidRPr="00A74652">
        <w:rPr>
          <w:lang w:val="en-GB"/>
        </w:rPr>
        <w:t>3.8.1 Transport</w:t>
      </w:r>
    </w:p>
    <w:p w14:paraId="3420BF41" w14:textId="77777777" w:rsidR="00486D2C" w:rsidRPr="00A74652" w:rsidRDefault="00D965CD" w:rsidP="00C31EF9">
      <w:pPr>
        <w:pStyle w:val="Bullet"/>
        <w:rPr>
          <w:lang w:val="en-GB"/>
        </w:rPr>
      </w:pPr>
      <w:r w:rsidRPr="00A74652">
        <w:rPr>
          <w:lang w:val="en-GB"/>
        </w:rPr>
        <w:t xml:space="preserve">Draft Advice Chapter 6: </w:t>
      </w:r>
      <w:r w:rsidR="001A69F4" w:rsidRPr="00A74652">
        <w:rPr>
          <w:lang w:val="en-GB"/>
        </w:rPr>
        <w:t>Direction of policy in the Government’s emissions reduction plan section 6.1.1</w:t>
      </w:r>
      <w:r w:rsidR="00486D2C" w:rsidRPr="00A74652">
        <w:rPr>
          <w:lang w:val="en-GB"/>
        </w:rPr>
        <w:t xml:space="preserve"> Transport</w:t>
      </w:r>
    </w:p>
    <w:p w14:paraId="2E5F87C1" w14:textId="20704EC9" w:rsidR="00A74652" w:rsidRPr="00A74652" w:rsidRDefault="00C86601" w:rsidP="00C31EF9">
      <w:pPr>
        <w:pStyle w:val="Bullet"/>
        <w:rPr>
          <w:lang w:val="en-GB"/>
        </w:rPr>
      </w:pPr>
      <w:r w:rsidRPr="00C86601">
        <w:rPr>
          <w:lang w:val="en-GB"/>
        </w:rPr>
        <w:t>Evidence report</w:t>
      </w:r>
      <w:r w:rsidR="00776A19" w:rsidRPr="00C86601">
        <w:rPr>
          <w:lang w:val="en-GB"/>
        </w:rPr>
        <w:t xml:space="preserve"> </w:t>
      </w:r>
      <w:r w:rsidR="00451DC2" w:rsidRPr="00C86601">
        <w:rPr>
          <w:lang w:val="en-GB"/>
        </w:rPr>
        <w:t>Chapter 4b</w:t>
      </w:r>
      <w:r w:rsidR="00451DC2" w:rsidRPr="00A74652">
        <w:rPr>
          <w:lang w:val="en-GB"/>
        </w:rPr>
        <w:t xml:space="preserve"> (Reducing emissions – opportunities and challenges across sectors Transport, buildings and urban form) and within that chapter, restrict ourselves to </w:t>
      </w:r>
      <w:r w:rsidR="00451DC2" w:rsidRPr="00A74652">
        <w:rPr>
          <w:b/>
          <w:bCs/>
          <w:lang w:val="en-GB"/>
        </w:rPr>
        <w:t>transport</w:t>
      </w:r>
      <w:r w:rsidR="00451DC2" w:rsidRPr="00A74652">
        <w:rPr>
          <w:lang w:val="en-GB"/>
        </w:rPr>
        <w:t xml:space="preserve"> and </w:t>
      </w:r>
      <w:r w:rsidR="00451DC2" w:rsidRPr="00A74652">
        <w:rPr>
          <w:b/>
          <w:bCs/>
          <w:lang w:val="en-GB"/>
        </w:rPr>
        <w:t>urban form</w:t>
      </w:r>
      <w:r w:rsidR="00451DC2" w:rsidRPr="00A74652">
        <w:rPr>
          <w:lang w:val="en-GB"/>
        </w:rPr>
        <w:t xml:space="preserve">. Section 4b. 3 Buildings </w:t>
      </w:r>
      <w:r w:rsidR="005A1304" w:rsidRPr="00A74652">
        <w:rPr>
          <w:lang w:val="en-GB"/>
        </w:rPr>
        <w:t>are</w:t>
      </w:r>
      <w:r w:rsidR="00451DC2" w:rsidRPr="00A74652">
        <w:rPr>
          <w:lang w:val="en-GB"/>
        </w:rPr>
        <w:t xml:space="preserve"> outside our area of expertise. </w:t>
      </w:r>
    </w:p>
    <w:p w14:paraId="7BCFA82A" w14:textId="29B10312" w:rsidR="00CA4DC2" w:rsidRDefault="00451DC2" w:rsidP="00451DC2">
      <w:pPr>
        <w:rPr>
          <w:lang w:val="en-GB"/>
        </w:rPr>
      </w:pPr>
      <w:r>
        <w:rPr>
          <w:lang w:val="en-GB"/>
        </w:rPr>
        <w:t>We commend the CCC for the quality of the consultation document and the depth of the analysis undertaken.</w:t>
      </w:r>
      <w:r w:rsidR="00CA4DC2">
        <w:rPr>
          <w:lang w:val="en-GB"/>
        </w:rPr>
        <w:t xml:space="preserve"> Our submission follows this </w:t>
      </w:r>
      <w:r w:rsidR="00AF23C6">
        <w:rPr>
          <w:lang w:val="en-GB"/>
        </w:rPr>
        <w:t xml:space="preserve">formatting </w:t>
      </w:r>
      <w:r w:rsidR="00CA4DC2">
        <w:rPr>
          <w:lang w:val="en-GB"/>
        </w:rPr>
        <w:t>structure:</w:t>
      </w:r>
    </w:p>
    <w:p w14:paraId="24AA88D3" w14:textId="32E12DC8" w:rsidR="00CA4DC2" w:rsidRDefault="00CA4DC2" w:rsidP="00041B92">
      <w:pPr>
        <w:pStyle w:val="Quote"/>
        <w:ind w:left="0"/>
        <w:jc w:val="left"/>
        <w:rPr>
          <w:lang w:val="en-GB"/>
        </w:rPr>
      </w:pPr>
      <w:r>
        <w:rPr>
          <w:lang w:val="en-GB"/>
        </w:rPr>
        <w:t>Quote from the CCC consultation materials</w:t>
      </w:r>
    </w:p>
    <w:p w14:paraId="03A62222" w14:textId="103007F1" w:rsidR="00CA4DC2" w:rsidRDefault="00AF23C6" w:rsidP="00451DC2">
      <w:pPr>
        <w:rPr>
          <w:lang w:val="en-GB"/>
        </w:rPr>
      </w:pPr>
      <w:r>
        <w:rPr>
          <w:lang w:val="en-GB"/>
        </w:rPr>
        <w:t>Our d</w:t>
      </w:r>
      <w:r w:rsidR="00CA4DC2">
        <w:rPr>
          <w:lang w:val="en-GB"/>
        </w:rPr>
        <w:t>iscussion</w:t>
      </w:r>
      <w:r>
        <w:rPr>
          <w:lang w:val="en-GB"/>
        </w:rPr>
        <w:t xml:space="preserve"> of the issue(s)</w:t>
      </w:r>
    </w:p>
    <w:p w14:paraId="3178310A" w14:textId="64071BF2" w:rsidR="00CA4DC2" w:rsidRDefault="00CA4DC2" w:rsidP="00CA4DC2">
      <w:pPr>
        <w:shd w:val="clear" w:color="auto" w:fill="C5E0B3" w:themeFill="accent6" w:themeFillTint="66"/>
        <w:rPr>
          <w:lang w:val="en-GB"/>
        </w:rPr>
      </w:pPr>
      <w:r>
        <w:rPr>
          <w:lang w:val="en-GB"/>
        </w:rPr>
        <w:t>Transportation Group recommendation</w:t>
      </w:r>
      <w:r w:rsidR="0002548D">
        <w:rPr>
          <w:lang w:val="en-GB"/>
        </w:rPr>
        <w:t>s</w:t>
      </w:r>
      <w:r>
        <w:rPr>
          <w:lang w:val="en-GB"/>
        </w:rPr>
        <w:t xml:space="preserve"> to CCC</w:t>
      </w:r>
      <w:r w:rsidR="0002548D">
        <w:rPr>
          <w:lang w:val="en-GB"/>
        </w:rPr>
        <w:t xml:space="preserve"> </w:t>
      </w:r>
      <w:r w:rsidR="00AF23C6">
        <w:rPr>
          <w:lang w:val="en-GB"/>
        </w:rPr>
        <w:t>(</w:t>
      </w:r>
      <w:r w:rsidR="0002548D">
        <w:rPr>
          <w:lang w:val="en-GB"/>
        </w:rPr>
        <w:t>shaded green</w:t>
      </w:r>
      <w:r w:rsidR="00AF23C6">
        <w:rPr>
          <w:lang w:val="en-GB"/>
        </w:rPr>
        <w:t>)</w:t>
      </w:r>
    </w:p>
    <w:p w14:paraId="419C2372" w14:textId="27FA642B" w:rsidR="00C2797A" w:rsidRDefault="00C2797A" w:rsidP="7FA9F0CF">
      <w:pPr>
        <w:pStyle w:val="Heading1"/>
        <w:rPr>
          <w:lang w:val="en-GB"/>
        </w:rPr>
      </w:pPr>
      <w:bookmarkStart w:id="1" w:name="_Toc67752200"/>
      <w:r w:rsidRPr="1AA173EA">
        <w:rPr>
          <w:lang w:val="en-GB"/>
        </w:rPr>
        <w:t>Executive summary</w:t>
      </w:r>
      <w:r w:rsidR="003E2A37" w:rsidRPr="1AA173EA">
        <w:rPr>
          <w:lang w:val="en-GB"/>
        </w:rPr>
        <w:t xml:space="preserve"> – transport</w:t>
      </w:r>
      <w:bookmarkEnd w:id="1"/>
    </w:p>
    <w:p w14:paraId="55D46DAA" w14:textId="77777777" w:rsidR="00D241FA" w:rsidRDefault="00D241FA" w:rsidP="00EA5805">
      <w:pPr>
        <w:pStyle w:val="Heading2"/>
        <w:rPr>
          <w:lang w:val="en-GB"/>
        </w:rPr>
      </w:pPr>
      <w:bookmarkStart w:id="2" w:name="_Toc67752201"/>
      <w:r w:rsidRPr="7FA9F0CF">
        <w:rPr>
          <w:lang w:val="en-GB"/>
        </w:rPr>
        <w:t>Overall structure</w:t>
      </w:r>
      <w:bookmarkEnd w:id="2"/>
    </w:p>
    <w:p w14:paraId="5938E106" w14:textId="5E4345AA" w:rsidR="00895FD9" w:rsidRDefault="00250800" w:rsidP="004C49FB">
      <w:pPr>
        <w:rPr>
          <w:lang w:val="en-GB"/>
        </w:rPr>
      </w:pPr>
      <w:r>
        <w:rPr>
          <w:lang w:val="en-GB"/>
        </w:rPr>
        <w:t xml:space="preserve">The CCC </w:t>
      </w:r>
      <w:r w:rsidR="001D2983">
        <w:rPr>
          <w:lang w:val="en-GB"/>
        </w:rPr>
        <w:t xml:space="preserve">executive summary </w:t>
      </w:r>
      <w:r w:rsidR="00895FD9">
        <w:rPr>
          <w:lang w:val="en-GB"/>
        </w:rPr>
        <w:t xml:space="preserve">states </w:t>
      </w:r>
    </w:p>
    <w:p w14:paraId="38FBDF48" w14:textId="63EAF7B3" w:rsidR="00895FD9" w:rsidRDefault="00895FD9" w:rsidP="004D02F0">
      <w:pPr>
        <w:pStyle w:val="Quote"/>
      </w:pPr>
      <w:r>
        <w:t>We recommend</w:t>
      </w:r>
      <w:r w:rsidRPr="004426D7">
        <w:t xml:space="preserve"> 17 critical actions the Government must take to reach its climate goals. </w:t>
      </w:r>
      <w:r w:rsidR="0048440F">
        <w:t>(p.12)</w:t>
      </w:r>
    </w:p>
    <w:p w14:paraId="049D3620" w14:textId="7155B344" w:rsidR="00895FD9" w:rsidRDefault="00895FD9" w:rsidP="004C49FB">
      <w:pPr>
        <w:rPr>
          <w:rFonts w:ascii="Calibri" w:eastAsia="Calibri" w:hAnsi="Calibri" w:cs="Calibri"/>
        </w:rPr>
      </w:pPr>
      <w:r>
        <w:rPr>
          <w:rFonts w:ascii="Calibri" w:eastAsia="Calibri" w:hAnsi="Calibri" w:cs="Calibri"/>
        </w:rPr>
        <w:t>The summary does not mention that these actions are not included in the summary</w:t>
      </w:r>
      <w:r w:rsidR="006F40F1">
        <w:rPr>
          <w:rFonts w:ascii="Calibri" w:eastAsia="Calibri" w:hAnsi="Calibri" w:cs="Calibri"/>
        </w:rPr>
        <w:t>. The Table of Contents is lengthy and readers may have skipped it.</w:t>
      </w:r>
      <w:r w:rsidR="00D02CE3">
        <w:rPr>
          <w:rFonts w:ascii="Calibri" w:eastAsia="Calibri" w:hAnsi="Calibri" w:cs="Calibri"/>
        </w:rPr>
        <w:t xml:space="preserve"> It is only when the reader has </w:t>
      </w:r>
      <w:r w:rsidR="003E746D">
        <w:rPr>
          <w:rFonts w:ascii="Calibri" w:eastAsia="Calibri" w:hAnsi="Calibri" w:cs="Calibri"/>
        </w:rPr>
        <w:t xml:space="preserve">made it through to later parts of the document that the </w:t>
      </w:r>
      <w:r w:rsidR="004D02F0">
        <w:rPr>
          <w:rFonts w:ascii="Calibri" w:eastAsia="Calibri" w:hAnsi="Calibri" w:cs="Calibri"/>
        </w:rPr>
        <w:t>structure of the document becomes clear.</w:t>
      </w:r>
    </w:p>
    <w:p w14:paraId="351B2056" w14:textId="6DB3AD06" w:rsidR="00895FD9" w:rsidRDefault="008C299A" w:rsidP="007C050F">
      <w:pPr>
        <w:pStyle w:val="TG-RECOMMENDATION"/>
      </w:pPr>
      <w:r>
        <w:t>To improve readability,</w:t>
      </w:r>
      <w:r w:rsidR="00895FD9">
        <w:t xml:space="preserve"> reference the relevant full action text</w:t>
      </w:r>
      <w:r>
        <w:t xml:space="preserve"> within each secto</w:t>
      </w:r>
      <w:r w:rsidR="00D02CE3">
        <w:t>r and clarify the difference between recommendations and actions.</w:t>
      </w:r>
      <w:r w:rsidR="004D02F0">
        <w:t xml:space="preserve"> The document structure should be outlined in the summary.</w:t>
      </w:r>
    </w:p>
    <w:p w14:paraId="6141F836" w14:textId="21379F05" w:rsidR="001D2983" w:rsidRDefault="004D02F0" w:rsidP="004C49FB">
      <w:pPr>
        <w:rPr>
          <w:lang w:val="en-GB"/>
        </w:rPr>
      </w:pPr>
      <w:r>
        <w:rPr>
          <w:lang w:val="en-GB"/>
        </w:rPr>
        <w:t xml:space="preserve">The summary </w:t>
      </w:r>
      <w:r w:rsidR="001D2983">
        <w:rPr>
          <w:lang w:val="en-GB"/>
        </w:rPr>
        <w:t>has three recommendations</w:t>
      </w:r>
      <w:r w:rsidR="00895FD9">
        <w:rPr>
          <w:lang w:val="en-GB"/>
        </w:rPr>
        <w:t xml:space="preserve"> for transport</w:t>
      </w:r>
      <w:r w:rsidR="007A5FE6">
        <w:rPr>
          <w:lang w:val="en-GB"/>
        </w:rPr>
        <w:t xml:space="preserve"> (p.14-15)</w:t>
      </w:r>
      <w:r w:rsidR="002D5AAC">
        <w:rPr>
          <w:lang w:val="en-GB"/>
        </w:rPr>
        <w:t xml:space="preserve"> as follows.</w:t>
      </w:r>
    </w:p>
    <w:p w14:paraId="222D5781" w14:textId="415596E5" w:rsidR="00B4508A" w:rsidRDefault="00B4508A" w:rsidP="00EA5805">
      <w:pPr>
        <w:pStyle w:val="Heading2"/>
        <w:rPr>
          <w:lang w:val="en-GB"/>
        </w:rPr>
      </w:pPr>
      <w:bookmarkStart w:id="3" w:name="_Toc67752202"/>
      <w:r w:rsidRPr="7FA9F0CF">
        <w:rPr>
          <w:lang w:val="en-GB"/>
        </w:rPr>
        <w:t xml:space="preserve">CCC </w:t>
      </w:r>
      <w:r w:rsidR="005037AB">
        <w:rPr>
          <w:lang w:val="en-GB"/>
        </w:rPr>
        <w:t xml:space="preserve">Transport </w:t>
      </w:r>
      <w:r w:rsidRPr="7FA9F0CF">
        <w:rPr>
          <w:lang w:val="en-GB"/>
        </w:rPr>
        <w:t>Recommendation 1</w:t>
      </w:r>
      <w:bookmarkEnd w:id="3"/>
    </w:p>
    <w:p w14:paraId="78926AEF" w14:textId="45AE5BB7" w:rsidR="004C49FB" w:rsidRDefault="004C49FB" w:rsidP="00D147A6">
      <w:pPr>
        <w:pStyle w:val="Quote"/>
      </w:pPr>
      <w:r w:rsidRPr="004C49FB">
        <w:t>An integrated national transport network should be developed to reduce travel by private car. There needs to be much more walking, cycling and use of public and shared transport.</w:t>
      </w:r>
      <w:r w:rsidR="00855F72">
        <w:t xml:space="preserve"> (p.14)</w:t>
      </w:r>
    </w:p>
    <w:p w14:paraId="74CC0403" w14:textId="61893E8D" w:rsidR="00E15FAC" w:rsidRDefault="006F2F22" w:rsidP="003E2A37">
      <w:r>
        <w:t xml:space="preserve">The Transportation Group supports the aim of </w:t>
      </w:r>
      <w:r w:rsidR="00DD296A">
        <w:t xml:space="preserve">“much more” </w:t>
      </w:r>
      <w:r w:rsidR="004075F8">
        <w:t xml:space="preserve">walking, cycling, public and shared transport. </w:t>
      </w:r>
      <w:r w:rsidR="00AB7175">
        <w:t>However, the “integrated</w:t>
      </w:r>
      <w:r w:rsidR="00DB1558">
        <w:t xml:space="preserve"> national transport network” proposal is ambiguous.</w:t>
      </w:r>
      <w:r w:rsidR="00315F88">
        <w:t xml:space="preserve"> At present, </w:t>
      </w:r>
      <w:r w:rsidR="009B329A">
        <w:t xml:space="preserve">many councils </w:t>
      </w:r>
      <w:r w:rsidR="009B329A">
        <w:lastRenderedPageBreak/>
        <w:t>are producing “integrated transport strategies”</w:t>
      </w:r>
      <w:r w:rsidR="0088787C">
        <w:t xml:space="preserve"> </w:t>
      </w:r>
      <w:r w:rsidR="00DA48A8">
        <w:t>that may or may not have sufficient detail</w:t>
      </w:r>
      <w:r w:rsidR="002D689A">
        <w:t xml:space="preserve"> </w:t>
      </w:r>
      <w:r w:rsidR="00B007F0">
        <w:t xml:space="preserve">for walking and cycling. </w:t>
      </w:r>
      <w:r w:rsidR="00116295">
        <w:t xml:space="preserve">They also </w:t>
      </w:r>
      <w:r w:rsidR="00240757">
        <w:t xml:space="preserve">may not sync with mandated </w:t>
      </w:r>
      <w:r w:rsidR="00B007F0">
        <w:t>Regional Public Transport Plans</w:t>
      </w:r>
      <w:r w:rsidR="00240757">
        <w:t xml:space="preserve"> and Regional Rail Plans.</w:t>
      </w:r>
    </w:p>
    <w:p w14:paraId="0373FB1C" w14:textId="4DC40667" w:rsidR="003E2A37" w:rsidRPr="003E2A37" w:rsidRDefault="007A5FE6" w:rsidP="003E2A37">
      <w:pPr>
        <w:rPr>
          <w:lang w:val="en-GB"/>
        </w:rPr>
      </w:pPr>
      <w:r>
        <w:t>T</w:t>
      </w:r>
      <w:r w:rsidR="0073629B">
        <w:rPr>
          <w:lang w:val="en-GB"/>
        </w:rPr>
        <w:t xml:space="preserve">he </w:t>
      </w:r>
      <w:r w:rsidR="002D7B22">
        <w:rPr>
          <w:lang w:val="en-GB"/>
        </w:rPr>
        <w:t xml:space="preserve">Ministry of Transport </w:t>
      </w:r>
      <w:r w:rsidR="00EB6B8D">
        <w:rPr>
          <w:lang w:val="en-GB"/>
        </w:rPr>
        <w:t>is</w:t>
      </w:r>
      <w:r w:rsidR="002D7B22">
        <w:rPr>
          <w:lang w:val="en-GB"/>
        </w:rPr>
        <w:t xml:space="preserve"> </w:t>
      </w:r>
      <w:r w:rsidR="005452CD">
        <w:rPr>
          <w:lang w:val="en-GB"/>
        </w:rPr>
        <w:t>using</w:t>
      </w:r>
      <w:r w:rsidR="002D7B22">
        <w:rPr>
          <w:lang w:val="en-GB"/>
        </w:rPr>
        <w:t xml:space="preserve"> a </w:t>
      </w:r>
      <w:r w:rsidR="003445F2">
        <w:rPr>
          <w:lang w:val="en-GB"/>
        </w:rPr>
        <w:t xml:space="preserve">“mode neutrality” </w:t>
      </w:r>
      <w:r w:rsidR="005452CD">
        <w:rPr>
          <w:lang w:val="en-GB"/>
        </w:rPr>
        <w:t>approach</w:t>
      </w:r>
      <w:r w:rsidR="00675945">
        <w:rPr>
          <w:lang w:val="en-GB"/>
        </w:rPr>
        <w:t>:</w:t>
      </w:r>
    </w:p>
    <w:p w14:paraId="74603FC4" w14:textId="74F5EE71" w:rsidR="00C2797A" w:rsidRDefault="00CB505A" w:rsidP="00E64DB1">
      <w:pPr>
        <w:pStyle w:val="Quote"/>
        <w:rPr>
          <w:lang w:val="en-GB"/>
        </w:rPr>
      </w:pPr>
      <w:r w:rsidRPr="00CB505A">
        <w:rPr>
          <w:lang w:val="en-GB"/>
        </w:rPr>
        <w:t>As a guiding principle for making transport decisions, 'mode neutrality' means considering all types of transport when planning, regulating and funding transport. Rather than favouring a specific type of transport, decisions are based on delivering positive social, economic and environmental outcomes</w:t>
      </w:r>
      <w:r w:rsidR="004369A4">
        <w:rPr>
          <w:lang w:val="en-GB"/>
        </w:rPr>
        <w:t xml:space="preserve"> (Ministry of Transport)</w:t>
      </w:r>
    </w:p>
    <w:p w14:paraId="6397A281" w14:textId="7AB9C5A6" w:rsidR="00817B7C" w:rsidRDefault="00D220AA" w:rsidP="670DB8DD">
      <w:pPr>
        <w:rPr>
          <w:rFonts w:ascii="Calibri" w:hAnsi="Calibri"/>
          <w:lang w:val="en-GB"/>
        </w:rPr>
      </w:pPr>
      <w:r>
        <w:rPr>
          <w:rFonts w:ascii="Calibri" w:hAnsi="Calibri"/>
          <w:lang w:val="en-GB"/>
        </w:rPr>
        <w:t>This approach is</w:t>
      </w:r>
      <w:r w:rsidR="00FE14A7">
        <w:rPr>
          <w:rFonts w:ascii="Calibri" w:hAnsi="Calibri"/>
          <w:lang w:val="en-GB"/>
        </w:rPr>
        <w:t xml:space="preserve"> insufficient to meet the challenge of climate change. </w:t>
      </w:r>
      <w:r w:rsidR="00AE4E40">
        <w:rPr>
          <w:rFonts w:ascii="Calibri" w:hAnsi="Calibri"/>
          <w:lang w:val="en-GB"/>
        </w:rPr>
        <w:t xml:space="preserve">After decades of </w:t>
      </w:r>
      <w:r w:rsidR="00D536F7">
        <w:rPr>
          <w:rFonts w:ascii="Calibri" w:hAnsi="Calibri"/>
          <w:lang w:val="en-GB"/>
        </w:rPr>
        <w:t xml:space="preserve">motorised road transport, </w:t>
      </w:r>
      <w:r w:rsidR="00C67782">
        <w:rPr>
          <w:rFonts w:ascii="Calibri" w:hAnsi="Calibri"/>
          <w:lang w:val="en-GB"/>
        </w:rPr>
        <w:t xml:space="preserve">we </w:t>
      </w:r>
      <w:r w:rsidR="00D46E21">
        <w:rPr>
          <w:rFonts w:ascii="Calibri" w:hAnsi="Calibri"/>
          <w:lang w:val="en-GB"/>
        </w:rPr>
        <w:t xml:space="preserve">must “favour” sustainable modes of </w:t>
      </w:r>
      <w:r w:rsidR="009D7F1D">
        <w:rPr>
          <w:rFonts w:ascii="Calibri" w:hAnsi="Calibri"/>
          <w:lang w:val="en-GB"/>
        </w:rPr>
        <w:t>transport</w:t>
      </w:r>
      <w:r w:rsidR="00120E5A">
        <w:rPr>
          <w:rFonts w:ascii="Calibri" w:hAnsi="Calibri"/>
          <w:lang w:val="en-GB"/>
        </w:rPr>
        <w:t xml:space="preserve"> in order to “catch up”</w:t>
      </w:r>
      <w:r w:rsidR="009D7F1D">
        <w:rPr>
          <w:rFonts w:ascii="Calibri" w:hAnsi="Calibri"/>
          <w:lang w:val="en-GB"/>
        </w:rPr>
        <w:t>, not just put them on a level playing field</w:t>
      </w:r>
      <w:r w:rsidR="00120E5A">
        <w:rPr>
          <w:rFonts w:ascii="Calibri" w:hAnsi="Calibri"/>
          <w:lang w:val="en-GB"/>
        </w:rPr>
        <w:t>.</w:t>
      </w:r>
    </w:p>
    <w:p w14:paraId="0DCDE9A3" w14:textId="1DFBE401" w:rsidR="00260089" w:rsidRDefault="003A0506" w:rsidP="007A686F">
      <w:pPr>
        <w:pStyle w:val="ListParagraph"/>
        <w:numPr>
          <w:ilvl w:val="0"/>
          <w:numId w:val="10"/>
        </w:numPr>
        <w:shd w:val="clear" w:color="auto" w:fill="C5E0B3" w:themeFill="accent6" w:themeFillTint="66"/>
      </w:pPr>
      <w:r>
        <w:t>B</w:t>
      </w:r>
      <w:r w:rsidR="00946FB5">
        <w:t>etter</w:t>
      </w:r>
      <w:r w:rsidR="007A5FE6">
        <w:t xml:space="preserve"> define “integrated national transport network”</w:t>
      </w:r>
      <w:r w:rsidR="00B26B7D">
        <w:t xml:space="preserve"> </w:t>
      </w:r>
      <w:r w:rsidR="00946FB5">
        <w:t>and help readers navigate the advice by</w:t>
      </w:r>
      <w:r w:rsidR="00B26B7D">
        <w:t xml:space="preserve"> referencing Necessary </w:t>
      </w:r>
      <w:r w:rsidR="00B857F1">
        <w:t>A</w:t>
      </w:r>
      <w:r w:rsidR="00B26B7D">
        <w:t>ction 2 (section 6.1.1)</w:t>
      </w:r>
    </w:p>
    <w:p w14:paraId="0AA9BCE2" w14:textId="6A1E0225" w:rsidR="007A5FE6" w:rsidRDefault="000C361D" w:rsidP="007A686F">
      <w:pPr>
        <w:pStyle w:val="ListParagraph"/>
        <w:numPr>
          <w:ilvl w:val="0"/>
          <w:numId w:val="10"/>
        </w:numPr>
        <w:shd w:val="clear" w:color="auto" w:fill="C5E0B3" w:themeFill="accent6" w:themeFillTint="66"/>
      </w:pPr>
      <w:r>
        <w:t>CCC should r</w:t>
      </w:r>
      <w:r w:rsidR="007A5FE6">
        <w:t>ecommend that Government explicitly favour sustainable modes rather than maintain “mode neutrality”</w:t>
      </w:r>
    </w:p>
    <w:p w14:paraId="703C8134" w14:textId="7D9C6757" w:rsidR="00B4508A" w:rsidRDefault="00B4508A" w:rsidP="00EA5805">
      <w:pPr>
        <w:pStyle w:val="Heading2"/>
        <w:rPr>
          <w:lang w:val="en-GB"/>
        </w:rPr>
      </w:pPr>
      <w:bookmarkStart w:id="4" w:name="_Toc67752203"/>
      <w:r w:rsidRPr="7FA9F0CF">
        <w:rPr>
          <w:lang w:val="en-GB"/>
        </w:rPr>
        <w:t xml:space="preserve">CCC </w:t>
      </w:r>
      <w:r w:rsidR="005037AB">
        <w:rPr>
          <w:lang w:val="en-GB"/>
        </w:rPr>
        <w:t xml:space="preserve">Transport </w:t>
      </w:r>
      <w:r w:rsidRPr="7FA9F0CF">
        <w:rPr>
          <w:lang w:val="en-GB"/>
        </w:rPr>
        <w:t>Recommendation</w:t>
      </w:r>
      <w:r w:rsidR="00AF70B6">
        <w:rPr>
          <w:lang w:val="en-GB"/>
        </w:rPr>
        <w:t xml:space="preserve"> 2</w:t>
      </w:r>
      <w:bookmarkEnd w:id="4"/>
    </w:p>
    <w:p w14:paraId="437CE214" w14:textId="01B2A353" w:rsidR="007A5FE6" w:rsidRDefault="007A5FE6" w:rsidP="007A5FE6">
      <w:pPr>
        <w:pStyle w:val="Quote"/>
      </w:pPr>
      <w:r w:rsidRPr="007A5FE6">
        <w:t xml:space="preserve">Electric vehicles are key and need to be widely adopted. We want to see the majority of the vehicles coming into New Zealand for everyday use electric by 2035. The government will need to provide support and incentives to make this happen. </w:t>
      </w:r>
      <w:r w:rsidR="00855F72">
        <w:t>(p.15)</w:t>
      </w:r>
    </w:p>
    <w:p w14:paraId="6880D8D8" w14:textId="5E1EA1B5" w:rsidR="006610F6" w:rsidRDefault="00486D7C" w:rsidP="006610F6">
      <w:r>
        <w:t xml:space="preserve">The Transportation Group </w:t>
      </w:r>
      <w:r w:rsidR="00640861">
        <w:t xml:space="preserve">generally </w:t>
      </w:r>
      <w:r>
        <w:t>agrees with this recommendation</w:t>
      </w:r>
      <w:r w:rsidR="00CF29C3">
        <w:t xml:space="preserve">, but as with the first recommendation, the Executive Summary should </w:t>
      </w:r>
      <w:r w:rsidR="0097019C">
        <w:t xml:space="preserve">reference </w:t>
      </w:r>
      <w:r w:rsidR="00862AF1">
        <w:t xml:space="preserve">the </w:t>
      </w:r>
      <w:r w:rsidR="00157A9D">
        <w:t>place in the CCC report where the details for this are contained.</w:t>
      </w:r>
    </w:p>
    <w:p w14:paraId="0A828BA5" w14:textId="2F351C09" w:rsidR="004369A4" w:rsidRPr="004369A4" w:rsidRDefault="00640861" w:rsidP="004369A4">
      <w:pPr>
        <w:pStyle w:val="TG-RECOMMENDATION"/>
      </w:pPr>
      <w:r>
        <w:t xml:space="preserve">Reference </w:t>
      </w:r>
      <w:r w:rsidR="00BB2A35">
        <w:t xml:space="preserve">where in the body of the </w:t>
      </w:r>
      <w:r w:rsidR="00D83E11">
        <w:t>advice the details are given (section 5.2.4)</w:t>
      </w:r>
    </w:p>
    <w:p w14:paraId="77715A07" w14:textId="488C1B5A" w:rsidR="00767EEE" w:rsidRDefault="00767EEE" w:rsidP="00767EEE">
      <w:r>
        <w:t>The Transportation Group notes that the supporting evidence says:</w:t>
      </w:r>
    </w:p>
    <w:p w14:paraId="0F54AE9E" w14:textId="4A927A3A" w:rsidR="004369A4" w:rsidRDefault="004369A4" w:rsidP="00767EEE">
      <w:pPr>
        <w:pStyle w:val="Quote"/>
      </w:pPr>
      <w:r w:rsidRPr="00E355B0">
        <w:t>There are also challenges of relying on electrification. Prioritising electric vehicle uptake continues to encourage car dependency and contributes to demand for low density development.</w:t>
      </w:r>
      <w:r>
        <w:t xml:space="preserve"> (</w:t>
      </w:r>
      <w:r w:rsidR="00433342">
        <w:t xml:space="preserve">Evidence Report </w:t>
      </w:r>
      <w:r w:rsidR="00855F72">
        <w:t xml:space="preserve">Chapter 4, </w:t>
      </w:r>
      <w:r>
        <w:t>p.14)</w:t>
      </w:r>
    </w:p>
    <w:p w14:paraId="28E4F909" w14:textId="4F525146" w:rsidR="00D316C4" w:rsidRDefault="002A44B5" w:rsidP="00D83E11">
      <w:r>
        <w:t xml:space="preserve">We agree with this point and </w:t>
      </w:r>
      <w:r w:rsidR="001A7836">
        <w:t xml:space="preserve">therefore </w:t>
      </w:r>
      <w:r w:rsidR="00D51CEF">
        <w:t>believe that</w:t>
      </w:r>
      <w:r w:rsidR="006404A1">
        <w:t xml:space="preserve"> </w:t>
      </w:r>
      <w:r w:rsidR="00D316C4">
        <w:t xml:space="preserve">EVs are one key, not the key. </w:t>
      </w:r>
    </w:p>
    <w:p w14:paraId="7067C708" w14:textId="61463576" w:rsidR="00767EEE" w:rsidRPr="00D83E11" w:rsidRDefault="00D316C4" w:rsidP="00952CBB">
      <w:pPr>
        <w:pStyle w:val="TG-RECOMMENDATION"/>
      </w:pPr>
      <w:r>
        <w:t xml:space="preserve">Rephrase </w:t>
      </w:r>
      <w:r w:rsidR="00952CBB">
        <w:t>Recommendation 2 as</w:t>
      </w:r>
      <w:r w:rsidR="57A1F1FA">
        <w:t>: “</w:t>
      </w:r>
      <w:r w:rsidR="398AC9CE">
        <w:t xml:space="preserve">As an interim measure before </w:t>
      </w:r>
      <w:r w:rsidR="204BA7C3">
        <w:t>mode shift</w:t>
      </w:r>
      <w:r w:rsidR="398AC9CE">
        <w:t xml:space="preserve"> to sustainable transport is widespread, e</w:t>
      </w:r>
      <w:r>
        <w:t>lectric vehicles need to be widely adopted</w:t>
      </w:r>
      <w:r w:rsidR="00952CBB">
        <w:t>…”</w:t>
      </w:r>
    </w:p>
    <w:p w14:paraId="57363D89" w14:textId="35EF6637" w:rsidR="00710711" w:rsidRDefault="000B0320" w:rsidP="00EA5805">
      <w:pPr>
        <w:pStyle w:val="Heading2"/>
        <w:rPr>
          <w:lang w:val="en-GB"/>
        </w:rPr>
      </w:pPr>
      <w:bookmarkStart w:id="5" w:name="_Toc67752204"/>
      <w:r w:rsidRPr="7FA9F0CF">
        <w:rPr>
          <w:lang w:val="en-GB"/>
        </w:rPr>
        <w:t xml:space="preserve">CCC </w:t>
      </w:r>
      <w:r w:rsidR="005037AB">
        <w:rPr>
          <w:lang w:val="en-GB"/>
        </w:rPr>
        <w:t xml:space="preserve">Transport </w:t>
      </w:r>
      <w:r w:rsidRPr="7FA9F0CF">
        <w:rPr>
          <w:lang w:val="en-GB"/>
        </w:rPr>
        <w:t>Recommendation 3</w:t>
      </w:r>
      <w:r w:rsidR="005037AB">
        <w:rPr>
          <w:lang w:val="en-GB"/>
        </w:rPr>
        <w:t xml:space="preserve"> (p.15)</w:t>
      </w:r>
      <w:bookmarkEnd w:id="5"/>
    </w:p>
    <w:p w14:paraId="6D863DC6" w14:textId="47F67A8F" w:rsidR="000B0320" w:rsidRDefault="006610F6" w:rsidP="00DB100F">
      <w:pPr>
        <w:pStyle w:val="Quote"/>
        <w:rPr>
          <w:lang w:val="en-GB"/>
        </w:rPr>
      </w:pPr>
      <w:r w:rsidRPr="006610F6">
        <w:rPr>
          <w:lang w:val="en-GB"/>
        </w:rPr>
        <w:t>Use of low carbon fuels, such as biofuels and hydrogen, needs to increase, particularly in heavy trucks, trains, planes, and ships.</w:t>
      </w:r>
    </w:p>
    <w:p w14:paraId="55C88FD2" w14:textId="40BF99FB" w:rsidR="006610F6" w:rsidRDefault="000747C5" w:rsidP="670DB8DD">
      <w:pPr>
        <w:rPr>
          <w:rFonts w:ascii="Calibri" w:hAnsi="Calibri"/>
          <w:lang w:val="en-GB"/>
        </w:rPr>
      </w:pPr>
      <w:r w:rsidRPr="4B9D702D">
        <w:rPr>
          <w:rFonts w:ascii="Calibri" w:hAnsi="Calibri"/>
          <w:lang w:val="en-GB"/>
        </w:rPr>
        <w:t>As we will discuss in our response to section</w:t>
      </w:r>
      <w:r w:rsidR="00204F96" w:rsidRPr="4B9D702D">
        <w:rPr>
          <w:rFonts w:ascii="Calibri" w:hAnsi="Calibri"/>
          <w:lang w:val="en-GB"/>
        </w:rPr>
        <w:t xml:space="preserve"> 6.1.1</w:t>
      </w:r>
      <w:r w:rsidR="00A51733" w:rsidRPr="4B9D702D">
        <w:rPr>
          <w:rFonts w:ascii="Calibri" w:hAnsi="Calibri"/>
          <w:lang w:val="en-GB"/>
        </w:rPr>
        <w:t xml:space="preserve"> and</w:t>
      </w:r>
      <w:r w:rsidR="00D448E4" w:rsidRPr="4B9D702D">
        <w:rPr>
          <w:rFonts w:ascii="Calibri" w:hAnsi="Calibri"/>
          <w:lang w:val="en-GB"/>
        </w:rPr>
        <w:t xml:space="preserve"> Evidence Report </w:t>
      </w:r>
      <w:r w:rsidR="00B10482" w:rsidRPr="4B9D702D">
        <w:rPr>
          <w:rFonts w:ascii="Calibri" w:hAnsi="Calibri"/>
          <w:lang w:val="en-GB"/>
        </w:rPr>
        <w:t>Chapter 4b</w:t>
      </w:r>
      <w:r w:rsidR="00417C43" w:rsidRPr="4B9D702D">
        <w:rPr>
          <w:rFonts w:ascii="Calibri" w:hAnsi="Calibri"/>
          <w:lang w:val="en-GB"/>
        </w:rPr>
        <w:t xml:space="preserve">, biofuels </w:t>
      </w:r>
      <w:r w:rsidR="000E2D76" w:rsidRPr="4B9D702D">
        <w:rPr>
          <w:rFonts w:ascii="Calibri" w:hAnsi="Calibri"/>
          <w:lang w:val="en-GB"/>
        </w:rPr>
        <w:t xml:space="preserve">should not come at the expense of </w:t>
      </w:r>
      <w:r w:rsidR="00C20984" w:rsidRPr="4B9D702D">
        <w:rPr>
          <w:rFonts w:ascii="Calibri" w:hAnsi="Calibri"/>
          <w:lang w:val="en-GB"/>
        </w:rPr>
        <w:t xml:space="preserve">land for food production and hydrogen has </w:t>
      </w:r>
      <w:r w:rsidR="00627775" w:rsidRPr="4B9D702D">
        <w:rPr>
          <w:rFonts w:ascii="Calibri" w:hAnsi="Calibri"/>
          <w:lang w:val="en-GB"/>
        </w:rPr>
        <w:t xml:space="preserve">serious limitations. </w:t>
      </w:r>
      <w:r w:rsidR="00887645" w:rsidRPr="4B9D702D">
        <w:rPr>
          <w:rFonts w:ascii="Calibri" w:hAnsi="Calibri"/>
          <w:lang w:val="en-GB"/>
        </w:rPr>
        <w:t xml:space="preserve">The Transportation Group notes that many other potential </w:t>
      </w:r>
      <w:r w:rsidR="00ED0F4C" w:rsidRPr="4B9D702D">
        <w:rPr>
          <w:rFonts w:ascii="Calibri" w:hAnsi="Calibri"/>
          <w:lang w:val="en-GB"/>
        </w:rPr>
        <w:t xml:space="preserve">outcomes and actions could have a larger impact </w:t>
      </w:r>
      <w:r w:rsidR="00270200" w:rsidRPr="4B9D702D">
        <w:rPr>
          <w:rFonts w:ascii="Calibri" w:hAnsi="Calibri"/>
          <w:lang w:val="en-GB"/>
        </w:rPr>
        <w:t xml:space="preserve">on emissions </w:t>
      </w:r>
      <w:r w:rsidR="00DB1F84" w:rsidRPr="4B9D702D">
        <w:rPr>
          <w:rFonts w:ascii="Calibri" w:hAnsi="Calibri"/>
          <w:lang w:val="en-GB"/>
        </w:rPr>
        <w:t xml:space="preserve">such as travel demand management </w:t>
      </w:r>
      <w:r w:rsidR="00ED0F4C" w:rsidRPr="4B9D702D">
        <w:rPr>
          <w:rFonts w:ascii="Calibri" w:hAnsi="Calibri"/>
          <w:lang w:val="en-GB"/>
        </w:rPr>
        <w:t xml:space="preserve">and therefore should be </w:t>
      </w:r>
      <w:r w:rsidR="006915F4" w:rsidRPr="4B9D702D">
        <w:rPr>
          <w:rFonts w:ascii="Calibri" w:hAnsi="Calibri"/>
          <w:lang w:val="en-GB"/>
        </w:rPr>
        <w:t>prioritised</w:t>
      </w:r>
      <w:r w:rsidR="00DB1F84" w:rsidRPr="4B9D702D">
        <w:rPr>
          <w:rFonts w:ascii="Calibri" w:hAnsi="Calibri"/>
          <w:lang w:val="en-GB"/>
        </w:rPr>
        <w:t>.</w:t>
      </w:r>
      <w:r w:rsidR="00ED0F4C" w:rsidRPr="4B9D702D">
        <w:rPr>
          <w:rFonts w:ascii="Calibri" w:hAnsi="Calibri"/>
          <w:lang w:val="en-GB"/>
        </w:rPr>
        <w:t xml:space="preserve"> </w:t>
      </w:r>
    </w:p>
    <w:p w14:paraId="1BCF0EAF" w14:textId="7CB12016" w:rsidR="006610F6" w:rsidRDefault="009C1031" w:rsidP="00F905F4">
      <w:pPr>
        <w:pStyle w:val="TG-RECOMMENDATION"/>
        <w:rPr>
          <w:lang w:val="en-GB"/>
        </w:rPr>
      </w:pPr>
      <w:r w:rsidRPr="4AC9B6F2">
        <w:rPr>
          <w:lang w:val="en-GB"/>
        </w:rPr>
        <w:t xml:space="preserve">Given the negative impacts of biofuel production and the </w:t>
      </w:r>
      <w:r w:rsidR="0F5D28D7" w:rsidRPr="4AC9B6F2">
        <w:rPr>
          <w:lang w:val="en-GB"/>
        </w:rPr>
        <w:t xml:space="preserve">significant technical </w:t>
      </w:r>
      <w:r w:rsidRPr="4AC9B6F2">
        <w:rPr>
          <w:lang w:val="en-GB"/>
        </w:rPr>
        <w:t>limitations of hydrogen</w:t>
      </w:r>
      <w:r w:rsidR="2FC41CEF" w:rsidRPr="4AC9B6F2">
        <w:rPr>
          <w:lang w:val="en-GB"/>
        </w:rPr>
        <w:t xml:space="preserve"> for private and commerical land transport</w:t>
      </w:r>
      <w:r w:rsidRPr="4AC9B6F2">
        <w:rPr>
          <w:lang w:val="en-GB"/>
        </w:rPr>
        <w:t>, c</w:t>
      </w:r>
      <w:r w:rsidR="00D42E31" w:rsidRPr="4AC9B6F2">
        <w:rPr>
          <w:lang w:val="en-GB"/>
        </w:rPr>
        <w:t xml:space="preserve">onsider </w:t>
      </w:r>
      <w:r w:rsidR="005A6FD1" w:rsidRPr="4AC9B6F2">
        <w:rPr>
          <w:lang w:val="en-GB"/>
        </w:rPr>
        <w:t xml:space="preserve">highlighting other </w:t>
      </w:r>
      <w:r w:rsidR="006A7AA4" w:rsidRPr="4AC9B6F2">
        <w:rPr>
          <w:lang w:val="en-GB"/>
        </w:rPr>
        <w:t>recommendations with potentially greater impact such as Travel Demand Management (including but not limited to</w:t>
      </w:r>
      <w:r w:rsidR="003656E7" w:rsidRPr="4AC9B6F2">
        <w:rPr>
          <w:lang w:val="en-GB"/>
        </w:rPr>
        <w:t xml:space="preserve"> new models of </w:t>
      </w:r>
      <w:r w:rsidRPr="4AC9B6F2">
        <w:rPr>
          <w:lang w:val="en-GB"/>
        </w:rPr>
        <w:t>road pricing</w:t>
      </w:r>
      <w:r w:rsidR="47FA8984" w:rsidRPr="4AC9B6F2">
        <w:rPr>
          <w:lang w:val="en-GB"/>
        </w:rPr>
        <w:t xml:space="preserve"> and dense</w:t>
      </w:r>
      <w:r w:rsidR="0F6E31D8" w:rsidRPr="4AC9B6F2">
        <w:rPr>
          <w:lang w:val="en-GB"/>
        </w:rPr>
        <w:t>r</w:t>
      </w:r>
      <w:r w:rsidR="47FA8984" w:rsidRPr="4AC9B6F2">
        <w:rPr>
          <w:lang w:val="en-GB"/>
        </w:rPr>
        <w:t xml:space="preserve"> land use development</w:t>
      </w:r>
      <w:r w:rsidRPr="4AC9B6F2">
        <w:rPr>
          <w:lang w:val="en-GB"/>
        </w:rPr>
        <w:t>)</w:t>
      </w:r>
      <w:r w:rsidR="47AEA229" w:rsidRPr="4AC9B6F2">
        <w:rPr>
          <w:lang w:val="en-GB"/>
        </w:rPr>
        <w:t>.</w:t>
      </w:r>
    </w:p>
    <w:p w14:paraId="53CBF41B" w14:textId="308E495D" w:rsidR="0026217A" w:rsidRDefault="00EA5805" w:rsidP="00EA5805">
      <w:pPr>
        <w:pStyle w:val="Heading1"/>
        <w:rPr>
          <w:lang w:val="en-GB"/>
        </w:rPr>
      </w:pPr>
      <w:bookmarkStart w:id="6" w:name="_Toc67752205"/>
      <w:r w:rsidRPr="7FA9F0CF">
        <w:rPr>
          <w:lang w:val="en-GB"/>
        </w:rPr>
        <w:t>Chapter 3: w</w:t>
      </w:r>
      <w:r w:rsidR="008775EE" w:rsidRPr="7FA9F0CF">
        <w:rPr>
          <w:lang w:val="en-GB"/>
        </w:rPr>
        <w:t>hat a</w:t>
      </w:r>
      <w:r w:rsidR="000B76A6" w:rsidRPr="7FA9F0CF">
        <w:rPr>
          <w:lang w:val="en-GB"/>
        </w:rPr>
        <w:t xml:space="preserve"> path to 2035</w:t>
      </w:r>
      <w:r w:rsidR="008775EE" w:rsidRPr="7FA9F0CF">
        <w:rPr>
          <w:lang w:val="en-GB"/>
        </w:rPr>
        <w:t xml:space="preserve"> looks like in transport (3.8.1)</w:t>
      </w:r>
      <w:bookmarkEnd w:id="6"/>
    </w:p>
    <w:p w14:paraId="071702C8" w14:textId="77777777" w:rsidR="004C3B22" w:rsidRPr="004C3B22" w:rsidRDefault="00662CC7" w:rsidP="004C3B22">
      <w:pPr>
        <w:pStyle w:val="Quote"/>
      </w:pPr>
      <w:r>
        <w:lastRenderedPageBreak/>
        <w:t>…n</w:t>
      </w:r>
      <w:r w:rsidR="008C5AE9">
        <w:t>o further internal combustion engine light vehicles imported after 2032</w:t>
      </w:r>
      <w:r w:rsidR="004C3B22">
        <w:t xml:space="preserve">. </w:t>
      </w:r>
      <w:r w:rsidR="004C3B22" w:rsidRPr="004C3B22">
        <w:t>This would mean more than half of all light vehicle travel would be in electric vehicles by 2035 and 40% of the light vehicle fleet would be electric vehicles by 2035 (Figure 3.10).</w:t>
      </w:r>
    </w:p>
    <w:p w14:paraId="32665C0E" w14:textId="2A0CCD93" w:rsidR="000B76A6" w:rsidRDefault="004C3B22" w:rsidP="00662CC7">
      <w:pPr>
        <w:pStyle w:val="Quote"/>
      </w:pPr>
      <w:r w:rsidRPr="004C3B22">
        <w:t>In our path medium and heavy trucks are slower to electrify. This is because the current battery technology does not allow for the greater daily distances they need to travel. Of the trucks imported in 2030, 15% of medium trucks and 8% of heavy trucks would be electric. By 2035, these would increase to 84% and 69% respectively.</w:t>
      </w:r>
      <w:r w:rsidR="007A3BD6">
        <w:t xml:space="preserve"> </w:t>
      </w:r>
      <w:r w:rsidR="007A3BD6" w:rsidRPr="007A3BD6">
        <w:rPr>
          <w:i w:val="0"/>
          <w:iCs w:val="0"/>
        </w:rPr>
        <w:t>(p.57)</w:t>
      </w:r>
    </w:p>
    <w:p w14:paraId="1C198753" w14:textId="7AFA2533" w:rsidR="000C6C15" w:rsidRDefault="004603BC" w:rsidP="0026217A">
      <w:pPr>
        <w:rPr>
          <w:lang w:val="en-GB"/>
        </w:rPr>
      </w:pPr>
      <w:r w:rsidRPr="711D53C3">
        <w:rPr>
          <w:lang w:val="en-GB"/>
        </w:rPr>
        <w:t>Current vehicle classes (</w:t>
      </w:r>
      <w:hyperlink r:id="rId13">
        <w:r w:rsidRPr="711D53C3">
          <w:rPr>
            <w:rStyle w:val="Hyperlink"/>
            <w:lang w:val="en-GB"/>
          </w:rPr>
          <w:t>https://www.nzta.govt.nz/vehicles/vehicle-types/vehicle-classes-and-standards/vehicle-classes/</w:t>
        </w:r>
      </w:hyperlink>
      <w:r w:rsidRPr="711D53C3">
        <w:rPr>
          <w:lang w:val="en-GB"/>
        </w:rPr>
        <w:t xml:space="preserve">) </w:t>
      </w:r>
      <w:r w:rsidR="00432856" w:rsidRPr="711D53C3">
        <w:rPr>
          <w:lang w:val="en-GB"/>
        </w:rPr>
        <w:t xml:space="preserve">do not </w:t>
      </w:r>
      <w:r w:rsidR="006071F5" w:rsidRPr="711D53C3">
        <w:rPr>
          <w:lang w:val="en-GB"/>
        </w:rPr>
        <w:t xml:space="preserve">clearly indicate </w:t>
      </w:r>
      <w:r w:rsidR="00EE2A76" w:rsidRPr="711D53C3">
        <w:rPr>
          <w:lang w:val="en-GB"/>
        </w:rPr>
        <w:t>wh</w:t>
      </w:r>
      <w:r w:rsidR="00167345" w:rsidRPr="711D53C3">
        <w:rPr>
          <w:lang w:val="en-GB"/>
        </w:rPr>
        <w:t>ether</w:t>
      </w:r>
      <w:r w:rsidR="006071F5" w:rsidRPr="711D53C3">
        <w:rPr>
          <w:lang w:val="en-GB"/>
        </w:rPr>
        <w:t xml:space="preserve"> the most popular (current) new vehicles, the Ford Ranger</w:t>
      </w:r>
      <w:r w:rsidR="00167345" w:rsidRPr="711D53C3">
        <w:rPr>
          <w:lang w:val="en-GB"/>
        </w:rPr>
        <w:t xml:space="preserve">, is a light vehicle or not. </w:t>
      </w:r>
      <w:r w:rsidR="00A22E13" w:rsidRPr="711D53C3">
        <w:rPr>
          <w:lang w:val="en-GB"/>
        </w:rPr>
        <w:t xml:space="preserve">It appears that this </w:t>
      </w:r>
      <w:r w:rsidR="00161520" w:rsidRPr="711D53C3">
        <w:rPr>
          <w:lang w:val="en-GB"/>
        </w:rPr>
        <w:t xml:space="preserve">goal </w:t>
      </w:r>
      <w:r w:rsidR="00661E53" w:rsidRPr="711D53C3">
        <w:rPr>
          <w:lang w:val="en-GB"/>
        </w:rPr>
        <w:t>allows a substantial number of light trucks like the Ford Ranger to continue being imported</w:t>
      </w:r>
      <w:r w:rsidR="00780F47" w:rsidRPr="711D53C3">
        <w:rPr>
          <w:lang w:val="en-GB"/>
        </w:rPr>
        <w:t xml:space="preserve"> (assuming that </w:t>
      </w:r>
      <w:r w:rsidR="006C7CA0" w:rsidRPr="711D53C3">
        <w:rPr>
          <w:lang w:val="en-GB"/>
        </w:rPr>
        <w:t xml:space="preserve">manufacturers </w:t>
      </w:r>
      <w:r w:rsidR="00780F47" w:rsidRPr="711D53C3">
        <w:rPr>
          <w:lang w:val="en-GB"/>
        </w:rPr>
        <w:t xml:space="preserve">are still producing ICE </w:t>
      </w:r>
      <w:r w:rsidR="006C7CA0" w:rsidRPr="711D53C3">
        <w:rPr>
          <w:lang w:val="en-GB"/>
        </w:rPr>
        <w:t xml:space="preserve">light trucks). </w:t>
      </w:r>
      <w:r w:rsidR="00285BE6" w:rsidRPr="711D53C3">
        <w:rPr>
          <w:lang w:val="en-GB"/>
        </w:rPr>
        <w:t>The</w:t>
      </w:r>
      <w:r w:rsidR="003433F8" w:rsidRPr="711D53C3">
        <w:rPr>
          <w:lang w:val="en-GB"/>
        </w:rPr>
        <w:t xml:space="preserve"> Toyota Hiace and the</w:t>
      </w:r>
      <w:r w:rsidR="00285BE6" w:rsidRPr="711D53C3">
        <w:rPr>
          <w:lang w:val="en-GB"/>
        </w:rPr>
        <w:t xml:space="preserve"> Ford Ranger 3.2 </w:t>
      </w:r>
      <w:r w:rsidR="003433F8" w:rsidRPr="711D53C3">
        <w:rPr>
          <w:lang w:val="en-GB"/>
        </w:rPr>
        <w:t>have</w:t>
      </w:r>
      <w:r w:rsidR="00285BE6" w:rsidRPr="711D53C3">
        <w:rPr>
          <w:lang w:val="en-GB"/>
        </w:rPr>
        <w:t xml:space="preserve"> emissions of</w:t>
      </w:r>
      <w:r w:rsidR="003433F8" w:rsidRPr="711D53C3">
        <w:rPr>
          <w:lang w:val="en-GB"/>
        </w:rPr>
        <w:t xml:space="preserve"> 214g/km and</w:t>
      </w:r>
      <w:r w:rsidR="00285BE6" w:rsidRPr="711D53C3">
        <w:rPr>
          <w:lang w:val="en-GB"/>
        </w:rPr>
        <w:t xml:space="preserve"> 2</w:t>
      </w:r>
      <w:r w:rsidR="003775A1" w:rsidRPr="711D53C3">
        <w:rPr>
          <w:lang w:val="en-GB"/>
        </w:rPr>
        <w:t>16</w:t>
      </w:r>
      <w:r w:rsidR="00285BE6" w:rsidRPr="711D53C3">
        <w:rPr>
          <w:lang w:val="en-GB"/>
        </w:rPr>
        <w:t>g/km</w:t>
      </w:r>
      <w:r w:rsidR="003433F8" w:rsidRPr="711D53C3">
        <w:rPr>
          <w:lang w:val="en-GB"/>
        </w:rPr>
        <w:t>, respectively</w:t>
      </w:r>
      <w:r w:rsidR="00285BE6" w:rsidRPr="711D53C3">
        <w:rPr>
          <w:lang w:val="en-GB"/>
        </w:rPr>
        <w:t xml:space="preserve">. </w:t>
      </w:r>
      <w:r w:rsidR="00956FE0" w:rsidRPr="711D53C3">
        <w:rPr>
          <w:lang w:val="en-GB"/>
        </w:rPr>
        <w:t xml:space="preserve">Ten years ago, </w:t>
      </w:r>
      <w:r w:rsidR="00F641CE" w:rsidRPr="711D53C3">
        <w:rPr>
          <w:lang w:val="en-GB"/>
        </w:rPr>
        <w:t xml:space="preserve">New Zealand tradespeople did not </w:t>
      </w:r>
      <w:r w:rsidR="7BE60503" w:rsidRPr="711D53C3">
        <w:rPr>
          <w:lang w:val="en-GB"/>
        </w:rPr>
        <w:t xml:space="preserve">predominantly </w:t>
      </w:r>
      <w:r w:rsidR="00F641CE" w:rsidRPr="711D53C3">
        <w:rPr>
          <w:lang w:val="en-GB"/>
        </w:rPr>
        <w:t xml:space="preserve">drive </w:t>
      </w:r>
      <w:r w:rsidR="7F45F291" w:rsidRPr="711D53C3">
        <w:rPr>
          <w:lang w:val="en-GB"/>
        </w:rPr>
        <w:t xml:space="preserve">very large </w:t>
      </w:r>
      <w:r w:rsidR="00A10791" w:rsidRPr="711D53C3">
        <w:rPr>
          <w:lang w:val="en-GB"/>
        </w:rPr>
        <w:t xml:space="preserve">4x4 double cab trucks </w:t>
      </w:r>
      <w:r w:rsidR="290212E0" w:rsidRPr="711D53C3">
        <w:rPr>
          <w:lang w:val="en-GB"/>
        </w:rPr>
        <w:t>that</w:t>
      </w:r>
      <w:r w:rsidR="6B031610" w:rsidRPr="711D53C3">
        <w:rPr>
          <w:lang w:val="en-GB"/>
        </w:rPr>
        <w:t xml:space="preserve"> are </w:t>
      </w:r>
      <w:r w:rsidR="4F41FE21" w:rsidRPr="711D53C3">
        <w:rPr>
          <w:lang w:val="en-GB"/>
        </w:rPr>
        <w:t xml:space="preserve">increasingly </w:t>
      </w:r>
      <w:r w:rsidR="6B031610" w:rsidRPr="711D53C3">
        <w:rPr>
          <w:lang w:val="en-GB"/>
        </w:rPr>
        <w:t xml:space="preserve">common </w:t>
      </w:r>
      <w:r w:rsidR="78714872" w:rsidRPr="711D53C3">
        <w:rPr>
          <w:lang w:val="en-GB"/>
        </w:rPr>
        <w:t>in our fleet n</w:t>
      </w:r>
      <w:r w:rsidR="56FBB210" w:rsidRPr="711D53C3">
        <w:rPr>
          <w:lang w:val="en-GB"/>
        </w:rPr>
        <w:t xml:space="preserve">ow. </w:t>
      </w:r>
      <w:r w:rsidR="3FC2DEC4" w:rsidRPr="711D53C3">
        <w:rPr>
          <w:lang w:val="en-GB"/>
        </w:rPr>
        <w:t xml:space="preserve">Using smaller more compact vehicles </w:t>
      </w:r>
      <w:r w:rsidR="00A10791" w:rsidRPr="711D53C3">
        <w:rPr>
          <w:lang w:val="en-GB"/>
        </w:rPr>
        <w:t xml:space="preserve">still </w:t>
      </w:r>
      <w:r w:rsidR="56693423" w:rsidRPr="711D53C3">
        <w:rPr>
          <w:lang w:val="en-GB"/>
        </w:rPr>
        <w:t xml:space="preserve">allowed </w:t>
      </w:r>
      <w:r w:rsidR="054ECF5C" w:rsidRPr="711D53C3">
        <w:rPr>
          <w:lang w:val="en-GB"/>
        </w:rPr>
        <w:t xml:space="preserve">tradespeople </w:t>
      </w:r>
      <w:r w:rsidR="56693423" w:rsidRPr="711D53C3">
        <w:rPr>
          <w:lang w:val="en-GB"/>
        </w:rPr>
        <w:t xml:space="preserve">to undertake their </w:t>
      </w:r>
      <w:r w:rsidR="00A10791" w:rsidRPr="711D53C3">
        <w:rPr>
          <w:lang w:val="en-GB"/>
        </w:rPr>
        <w:t>work</w:t>
      </w:r>
      <w:r w:rsidR="64227793" w:rsidRPr="711D53C3">
        <w:rPr>
          <w:lang w:val="en-GB"/>
        </w:rPr>
        <w:t xml:space="preserve">, travelling and storing tools in </w:t>
      </w:r>
      <w:r w:rsidR="00217809" w:rsidRPr="711D53C3">
        <w:rPr>
          <w:lang w:val="en-GB"/>
        </w:rPr>
        <w:t xml:space="preserve">vehicles that take less </w:t>
      </w:r>
      <w:r w:rsidR="64959A7F" w:rsidRPr="711D53C3">
        <w:rPr>
          <w:lang w:val="en-GB"/>
        </w:rPr>
        <w:t xml:space="preserve">road and parking </w:t>
      </w:r>
      <w:r w:rsidR="00217809" w:rsidRPr="711D53C3">
        <w:rPr>
          <w:lang w:val="en-GB"/>
        </w:rPr>
        <w:t>space</w:t>
      </w:r>
      <w:r w:rsidR="57EDF386" w:rsidRPr="711D53C3">
        <w:rPr>
          <w:lang w:val="en-GB"/>
        </w:rPr>
        <w:t>,</w:t>
      </w:r>
      <w:r w:rsidR="00217809" w:rsidRPr="711D53C3">
        <w:rPr>
          <w:lang w:val="en-GB"/>
        </w:rPr>
        <w:t xml:space="preserve"> and</w:t>
      </w:r>
      <w:r w:rsidR="008D119E" w:rsidRPr="711D53C3">
        <w:rPr>
          <w:lang w:val="en-GB"/>
        </w:rPr>
        <w:t xml:space="preserve"> cause</w:t>
      </w:r>
      <w:r w:rsidR="08548579" w:rsidRPr="711D53C3">
        <w:rPr>
          <w:lang w:val="en-GB"/>
        </w:rPr>
        <w:t>d</w:t>
      </w:r>
      <w:r w:rsidR="008D119E" w:rsidRPr="711D53C3">
        <w:rPr>
          <w:lang w:val="en-GB"/>
        </w:rPr>
        <w:t xml:space="preserve"> less harm to pedestrians </w:t>
      </w:r>
      <w:r w:rsidR="07368718" w:rsidRPr="711D53C3">
        <w:rPr>
          <w:lang w:val="en-GB"/>
        </w:rPr>
        <w:t xml:space="preserve">and cyclists </w:t>
      </w:r>
      <w:r w:rsidR="008D119E" w:rsidRPr="711D53C3">
        <w:rPr>
          <w:lang w:val="en-GB"/>
        </w:rPr>
        <w:t>in the event of a collision</w:t>
      </w:r>
      <w:r w:rsidR="18EC151B" w:rsidRPr="711D53C3">
        <w:rPr>
          <w:lang w:val="en-GB"/>
        </w:rPr>
        <w:t xml:space="preserve"> (with lower bonnets </w:t>
      </w:r>
      <w:r w:rsidR="0002548D">
        <w:rPr>
          <w:lang w:val="en-GB"/>
        </w:rPr>
        <w:t xml:space="preserve">both </w:t>
      </w:r>
      <w:r w:rsidR="18EC151B" w:rsidRPr="711D53C3">
        <w:rPr>
          <w:lang w:val="en-GB"/>
        </w:rPr>
        <w:t>reducing the risk of pedestrians being dragged underneath</w:t>
      </w:r>
      <w:r w:rsidR="0002548D">
        <w:rPr>
          <w:lang w:val="en-GB"/>
        </w:rPr>
        <w:t>,</w:t>
      </w:r>
      <w:r w:rsidR="18EC151B" w:rsidRPr="711D53C3">
        <w:rPr>
          <w:lang w:val="en-GB"/>
        </w:rPr>
        <w:t xml:space="preserve"> and </w:t>
      </w:r>
      <w:r w:rsidR="0002548D">
        <w:rPr>
          <w:lang w:val="en-GB"/>
        </w:rPr>
        <w:t xml:space="preserve">providing </w:t>
      </w:r>
      <w:r w:rsidR="18EC151B" w:rsidRPr="711D53C3">
        <w:rPr>
          <w:lang w:val="en-GB"/>
        </w:rPr>
        <w:t>better forward visibility</w:t>
      </w:r>
      <w:r w:rsidR="0002548D">
        <w:rPr>
          <w:lang w:val="en-GB"/>
        </w:rPr>
        <w:t xml:space="preserve"> to reduce the likelihood of collision in the first place</w:t>
      </w:r>
      <w:r w:rsidR="18EC151B" w:rsidRPr="711D53C3">
        <w:rPr>
          <w:lang w:val="en-GB"/>
        </w:rPr>
        <w:t>)</w:t>
      </w:r>
      <w:r w:rsidR="008D119E" w:rsidRPr="711D53C3">
        <w:rPr>
          <w:lang w:val="en-GB"/>
        </w:rPr>
        <w:t>.</w:t>
      </w:r>
      <w:r w:rsidR="2BEF50A2" w:rsidRPr="711D53C3">
        <w:rPr>
          <w:lang w:val="en-GB"/>
        </w:rPr>
        <w:t xml:space="preserve"> </w:t>
      </w:r>
      <w:r w:rsidR="0002548D">
        <w:rPr>
          <w:lang w:val="en-GB"/>
        </w:rPr>
        <w:t>L</w:t>
      </w:r>
      <w:r w:rsidR="2BEF50A2" w:rsidRPr="711D53C3">
        <w:rPr>
          <w:lang w:val="en-GB"/>
        </w:rPr>
        <w:t xml:space="preserve">arger vehicles are </w:t>
      </w:r>
      <w:r w:rsidR="0002548D">
        <w:rPr>
          <w:lang w:val="en-GB"/>
        </w:rPr>
        <w:t xml:space="preserve">threatening to people walking and riding bicycles, so are one of many barriers to more people </w:t>
      </w:r>
      <w:r w:rsidR="2BEF50A2" w:rsidRPr="711D53C3">
        <w:rPr>
          <w:lang w:val="en-GB"/>
        </w:rPr>
        <w:t>travel</w:t>
      </w:r>
      <w:r w:rsidR="0002548D">
        <w:rPr>
          <w:lang w:val="en-GB"/>
        </w:rPr>
        <w:t>ing in more sustainable ways</w:t>
      </w:r>
      <w:r w:rsidR="47D6DA4E" w:rsidRPr="711D53C3">
        <w:rPr>
          <w:lang w:val="en-GB"/>
        </w:rPr>
        <w:t>.</w:t>
      </w:r>
      <w:r w:rsidR="6AE3C695" w:rsidRPr="711D53C3">
        <w:rPr>
          <w:lang w:val="en-GB"/>
        </w:rPr>
        <w:t xml:space="preserve"> </w:t>
      </w:r>
    </w:p>
    <w:p w14:paraId="46576617" w14:textId="6160A183" w:rsidR="00964663" w:rsidRPr="00964663" w:rsidRDefault="00C07009" w:rsidP="00964663">
      <w:pPr>
        <w:pStyle w:val="TG-RECOMMENDATION"/>
        <w:rPr>
          <w:lang w:val="en-GB"/>
        </w:rPr>
      </w:pPr>
      <w:r w:rsidRPr="2554D008">
        <w:rPr>
          <w:lang w:val="en-GB"/>
        </w:rPr>
        <w:t xml:space="preserve">Clarify the </w:t>
      </w:r>
      <w:r w:rsidR="004603BC" w:rsidRPr="2554D008">
        <w:rPr>
          <w:lang w:val="en-GB"/>
        </w:rPr>
        <w:t xml:space="preserve">term “light </w:t>
      </w:r>
      <w:r w:rsidR="72DBE3C9" w:rsidRPr="2554D008">
        <w:rPr>
          <w:lang w:val="en-GB"/>
        </w:rPr>
        <w:t>vehicle”</w:t>
      </w:r>
    </w:p>
    <w:p w14:paraId="0C45CFFF" w14:textId="1FF60513" w:rsidR="008C5AE9" w:rsidRDefault="000C6C15" w:rsidP="00A95904">
      <w:pPr>
        <w:pStyle w:val="TG-RECOMMENDATION"/>
        <w:rPr>
          <w:lang w:val="en-GB"/>
        </w:rPr>
      </w:pPr>
      <w:r w:rsidRPr="2554D008">
        <w:rPr>
          <w:lang w:val="en-GB"/>
        </w:rPr>
        <w:t xml:space="preserve">Remove </w:t>
      </w:r>
      <w:r w:rsidR="009144A4" w:rsidRPr="2554D008">
        <w:rPr>
          <w:lang w:val="en-GB"/>
        </w:rPr>
        <w:t>i</w:t>
      </w:r>
      <w:r w:rsidR="002949AE" w:rsidRPr="2554D008">
        <w:rPr>
          <w:lang w:val="en-GB"/>
        </w:rPr>
        <w:t xml:space="preserve">ncentives and exceptions favouring </w:t>
      </w:r>
      <w:r w:rsidR="16FD67C0" w:rsidRPr="2554D008">
        <w:rPr>
          <w:lang w:val="en-GB"/>
        </w:rPr>
        <w:t>the heavie</w:t>
      </w:r>
      <w:r w:rsidR="00964663" w:rsidRPr="2554D008">
        <w:rPr>
          <w:lang w:val="en-GB"/>
        </w:rPr>
        <w:t>s</w:t>
      </w:r>
      <w:r w:rsidR="46B155C8" w:rsidRPr="2554D008">
        <w:rPr>
          <w:lang w:val="en-GB"/>
        </w:rPr>
        <w:t>t vehicles</w:t>
      </w:r>
      <w:r w:rsidR="00964663" w:rsidRPr="2554D008">
        <w:rPr>
          <w:lang w:val="en-GB"/>
        </w:rPr>
        <w:t>; in</w:t>
      </w:r>
      <w:r w:rsidR="5EE5041B" w:rsidRPr="2554D008">
        <w:rPr>
          <w:lang w:val="en-GB"/>
        </w:rPr>
        <w:t>troduc</w:t>
      </w:r>
      <w:r w:rsidR="00964663" w:rsidRPr="2554D008">
        <w:rPr>
          <w:lang w:val="en-GB"/>
        </w:rPr>
        <w:t xml:space="preserve">e </w:t>
      </w:r>
      <w:r w:rsidR="00043540" w:rsidRPr="2554D008">
        <w:rPr>
          <w:lang w:val="en-GB"/>
        </w:rPr>
        <w:t xml:space="preserve">an emissions-based </w:t>
      </w:r>
      <w:r w:rsidR="00B03DB4" w:rsidRPr="2554D008">
        <w:rPr>
          <w:lang w:val="en-GB"/>
        </w:rPr>
        <w:t xml:space="preserve">taxation scheme to encourage the uptake of more efficient and low emission </w:t>
      </w:r>
      <w:r w:rsidR="7FB9F386" w:rsidRPr="2554D008">
        <w:rPr>
          <w:lang w:val="en-GB"/>
        </w:rPr>
        <w:t>vehicles.</w:t>
      </w:r>
    </w:p>
    <w:p w14:paraId="3444B127" w14:textId="426F63A0" w:rsidR="0006289F" w:rsidRDefault="0006289F" w:rsidP="00662CC7">
      <w:pPr>
        <w:pStyle w:val="Quote"/>
      </w:pPr>
      <w:r>
        <w:t xml:space="preserve">We assume </w:t>
      </w:r>
      <w:bookmarkStart w:id="7" w:name="_Hlk59010774"/>
      <w:r>
        <w:t xml:space="preserve">the average household travel distance per person </w:t>
      </w:r>
      <w:bookmarkEnd w:id="7"/>
      <w:r>
        <w:t>can be reduced by around 7% by 2030, for example through more compact urban form and encouraging remote working. We also assume that the share of this distance travelled by walking, cycling and public transport can be increased by 25%, 95% and 120% respectively by 2030</w:t>
      </w:r>
      <w:r w:rsidR="00CD3715">
        <w:t xml:space="preserve"> </w:t>
      </w:r>
      <w:r w:rsidR="00CD3715" w:rsidRPr="00CD3715">
        <w:rPr>
          <w:i w:val="0"/>
          <w:iCs w:val="0"/>
        </w:rPr>
        <w:t>(p.58)</w:t>
      </w:r>
    </w:p>
    <w:p w14:paraId="6D5DB03C" w14:textId="484972BE" w:rsidR="004769C8" w:rsidRDefault="00A25622" w:rsidP="0026217A">
      <w:r>
        <w:t xml:space="preserve">Between </w:t>
      </w:r>
      <w:r w:rsidR="002660D5">
        <w:t xml:space="preserve">ongoing school consolidations and </w:t>
      </w:r>
      <w:r w:rsidR="00392871">
        <w:t xml:space="preserve">urban sprawl, it is considered unlikely that </w:t>
      </w:r>
      <w:r w:rsidR="00BD1575">
        <w:t xml:space="preserve">New Zealand’s </w:t>
      </w:r>
      <w:r w:rsidR="00AB23BE">
        <w:t xml:space="preserve">per capita travel distances will reduce </w:t>
      </w:r>
      <w:r w:rsidR="00A84E61">
        <w:t xml:space="preserve">and </w:t>
      </w:r>
      <w:r w:rsidR="00BD1575">
        <w:t>urban form will become more compact</w:t>
      </w:r>
      <w:r w:rsidR="00A84E61">
        <w:t>.</w:t>
      </w:r>
      <w:r w:rsidR="00AE0AB9">
        <w:t xml:space="preserve"> </w:t>
      </w:r>
      <w:r w:rsidR="004769C8">
        <w:t>The TG will comment on the actions required to achieve the 7% reduction in the respective sections.</w:t>
      </w:r>
    </w:p>
    <w:p w14:paraId="0BDF57A1" w14:textId="2E1EC44E" w:rsidR="0006289F" w:rsidRDefault="00206A57" w:rsidP="0026217A">
      <w:r>
        <w:t>It would be simpler for readers to understand if the</w:t>
      </w:r>
      <w:r w:rsidR="008A7BEA">
        <w:t xml:space="preserve"> resulting</w:t>
      </w:r>
      <w:r w:rsidR="00DA7D83">
        <w:t xml:space="preserve"> mode share values</w:t>
      </w:r>
      <w:r w:rsidR="003020C2">
        <w:t xml:space="preserve"> were presented along with the </w:t>
      </w:r>
      <w:r w:rsidR="008A7BEA">
        <w:t>target percent increases.</w:t>
      </w:r>
    </w:p>
    <w:p w14:paraId="72BF0D8C" w14:textId="08A94FF9" w:rsidR="0024734F" w:rsidRDefault="00B2496E" w:rsidP="001434C6">
      <w:pPr>
        <w:pStyle w:val="TG-RECOMMENDATION"/>
      </w:pPr>
      <w:r>
        <w:t xml:space="preserve">Add resulting mode share values to the </w:t>
      </w:r>
      <w:r w:rsidR="00FC1030">
        <w:t xml:space="preserve">assumed </w:t>
      </w:r>
      <w:r w:rsidR="001434C6">
        <w:t>percent increases</w:t>
      </w:r>
    </w:p>
    <w:p w14:paraId="1A16B4E0" w14:textId="13E183E9" w:rsidR="0006289F" w:rsidRDefault="009B0037" w:rsidP="00662CC7">
      <w:pPr>
        <w:pStyle w:val="Quote"/>
      </w:pPr>
      <w:r>
        <w:t>Emissions from freight can be reduced by switching some freight movements from road to rail and coastal shipping. Our path assumes 4% of freight tonne-kilometres can switch by 2030. Further reductions in freight emissions could be achieved by completing the electrification of the Auckland to Wellington railway line and electrifying the Hamilton to Tauranga railway line</w:t>
      </w:r>
      <w:r w:rsidR="0010069E">
        <w:t xml:space="preserve"> </w:t>
      </w:r>
      <w:r w:rsidR="0010069E" w:rsidRPr="1AA173EA">
        <w:rPr>
          <w:i w:val="0"/>
          <w:iCs w:val="0"/>
        </w:rPr>
        <w:t>(p.59)</w:t>
      </w:r>
    </w:p>
    <w:p w14:paraId="3B41211E" w14:textId="3C2D5B00" w:rsidR="7F1566A7" w:rsidRPr="0002548D" w:rsidRDefault="0002548D" w:rsidP="234D1892">
      <w:pPr>
        <w:rPr>
          <w:rFonts w:ascii="Calibri" w:eastAsia="Yu Mincho" w:hAnsi="Calibri" w:cs="Arial"/>
        </w:rPr>
      </w:pPr>
      <w:r w:rsidRPr="0002548D">
        <w:t>W</w:t>
      </w:r>
      <w:r w:rsidR="59227015" w:rsidRPr="0002548D">
        <w:t xml:space="preserve">e support </w:t>
      </w:r>
      <w:r w:rsidRPr="0002548D">
        <w:t xml:space="preserve">advice related to emissions from freight. </w:t>
      </w:r>
      <w:r w:rsidR="7F1566A7" w:rsidRPr="0002548D">
        <w:rPr>
          <w:rFonts w:ascii="Calibri" w:eastAsia="Yu Mincho" w:hAnsi="Calibri" w:cs="Arial"/>
        </w:rPr>
        <w:t xml:space="preserve">As professionals, we see that promoting active travel, EVs, micro-mobility, and TDM (to help offset the growth in VKT that naturally follow population growth) are </w:t>
      </w:r>
      <w:r w:rsidR="7F1566A7" w:rsidRPr="0002548D">
        <w:rPr>
          <w:rFonts w:ascii="Calibri" w:eastAsia="Yu Mincho" w:hAnsi="Calibri" w:cs="Arial"/>
          <w:i/>
          <w:iCs/>
        </w:rPr>
        <w:t xml:space="preserve">all </w:t>
      </w:r>
      <w:r w:rsidR="7F1566A7" w:rsidRPr="0002548D">
        <w:rPr>
          <w:rFonts w:ascii="Calibri" w:eastAsia="Yu Mincho" w:hAnsi="Calibri" w:cs="Arial"/>
        </w:rPr>
        <w:t>needed as part of the ‘keys’ to address our growing demand for carbon consumption in the</w:t>
      </w:r>
      <w:r w:rsidR="6FE5EFD0" w:rsidRPr="0002548D">
        <w:rPr>
          <w:rFonts w:ascii="Calibri" w:eastAsia="Yu Mincho" w:hAnsi="Calibri" w:cs="Arial"/>
        </w:rPr>
        <w:t xml:space="preserve"> </w:t>
      </w:r>
      <w:r w:rsidR="7F1566A7" w:rsidRPr="0002548D">
        <w:rPr>
          <w:rFonts w:ascii="Calibri" w:eastAsia="Yu Mincho" w:hAnsi="Calibri" w:cs="Arial"/>
        </w:rPr>
        <w:t xml:space="preserve">transport sector, but these steps </w:t>
      </w:r>
      <w:r w:rsidR="57C2C32E" w:rsidRPr="0002548D">
        <w:rPr>
          <w:rFonts w:ascii="Calibri" w:eastAsia="Yu Mincho" w:hAnsi="Calibri" w:cs="Arial"/>
        </w:rPr>
        <w:t xml:space="preserve">will </w:t>
      </w:r>
      <w:r w:rsidR="7F1566A7" w:rsidRPr="0002548D">
        <w:rPr>
          <w:rFonts w:ascii="Calibri" w:eastAsia="Yu Mincho" w:hAnsi="Calibri" w:cs="Arial"/>
        </w:rPr>
        <w:t xml:space="preserve">also </w:t>
      </w:r>
      <w:r w:rsidR="2F8E47AA" w:rsidRPr="0002548D">
        <w:rPr>
          <w:rFonts w:ascii="Calibri" w:eastAsia="Yu Mincho" w:hAnsi="Calibri" w:cs="Arial"/>
        </w:rPr>
        <w:t xml:space="preserve">offer </w:t>
      </w:r>
      <w:r w:rsidR="50ED6420" w:rsidRPr="0002548D">
        <w:rPr>
          <w:rFonts w:ascii="Calibri" w:eastAsia="Yu Mincho" w:hAnsi="Calibri" w:cs="Arial"/>
        </w:rPr>
        <w:t xml:space="preserve">the enduring </w:t>
      </w:r>
      <w:r w:rsidR="0E2E8FA2" w:rsidRPr="0002548D">
        <w:rPr>
          <w:rFonts w:ascii="Calibri" w:eastAsia="Yu Mincho" w:hAnsi="Calibri" w:cs="Arial"/>
        </w:rPr>
        <w:t>positive</w:t>
      </w:r>
      <w:r w:rsidR="50ED6420" w:rsidRPr="0002548D">
        <w:rPr>
          <w:rFonts w:ascii="Calibri" w:eastAsia="Yu Mincho" w:hAnsi="Calibri" w:cs="Arial"/>
        </w:rPr>
        <w:t xml:space="preserve"> </w:t>
      </w:r>
      <w:r w:rsidR="68D95CA9" w:rsidRPr="0002548D">
        <w:rPr>
          <w:rFonts w:ascii="Calibri" w:eastAsia="Yu Mincho" w:hAnsi="Calibri" w:cs="Arial"/>
        </w:rPr>
        <w:t>ben</w:t>
      </w:r>
      <w:r w:rsidR="7230C4F0" w:rsidRPr="0002548D">
        <w:rPr>
          <w:rFonts w:ascii="Calibri" w:eastAsia="Yu Mincho" w:hAnsi="Calibri" w:cs="Arial"/>
        </w:rPr>
        <w:t>e</w:t>
      </w:r>
      <w:r w:rsidR="50ED6420" w:rsidRPr="0002548D">
        <w:rPr>
          <w:rFonts w:ascii="Calibri" w:eastAsia="Yu Mincho" w:hAnsi="Calibri" w:cs="Arial"/>
        </w:rPr>
        <w:t xml:space="preserve">fits of </w:t>
      </w:r>
      <w:r w:rsidR="7F1566A7" w:rsidRPr="0002548D">
        <w:rPr>
          <w:rFonts w:ascii="Calibri" w:eastAsia="Yu Mincho" w:hAnsi="Calibri" w:cs="Arial"/>
        </w:rPr>
        <w:t>realis</w:t>
      </w:r>
      <w:r w:rsidR="3944D2A9" w:rsidRPr="0002548D">
        <w:rPr>
          <w:rFonts w:ascii="Calibri" w:eastAsia="Yu Mincho" w:hAnsi="Calibri" w:cs="Arial"/>
        </w:rPr>
        <w:t xml:space="preserve">ing </w:t>
      </w:r>
      <w:r w:rsidR="7F1566A7" w:rsidRPr="0002548D">
        <w:rPr>
          <w:rFonts w:ascii="Calibri" w:eastAsia="Yu Mincho" w:hAnsi="Calibri" w:cs="Arial"/>
        </w:rPr>
        <w:t>equity, liveability and health outcomes</w:t>
      </w:r>
      <w:r w:rsidR="1F075269" w:rsidRPr="0002548D">
        <w:rPr>
          <w:rFonts w:ascii="Calibri" w:eastAsia="Yu Mincho" w:hAnsi="Calibri" w:cs="Arial"/>
        </w:rPr>
        <w:t xml:space="preserve"> for all citizens</w:t>
      </w:r>
      <w:r w:rsidR="7F1566A7" w:rsidRPr="0002548D">
        <w:rPr>
          <w:rFonts w:ascii="Calibri" w:eastAsia="Yu Mincho" w:hAnsi="Calibri" w:cs="Arial"/>
        </w:rPr>
        <w:t>.</w:t>
      </w:r>
      <w:r w:rsidR="0600B78C" w:rsidRPr="0002548D">
        <w:rPr>
          <w:rFonts w:ascii="Calibri" w:eastAsia="Yu Mincho" w:hAnsi="Calibri" w:cs="Arial"/>
        </w:rPr>
        <w:t xml:space="preserve"> There are many mechanisms needed and many benefits to be seen, so integration and collaboration are critical.</w:t>
      </w:r>
    </w:p>
    <w:p w14:paraId="32EBD80F" w14:textId="34BE6F11" w:rsidR="00880802" w:rsidRDefault="00EA5805" w:rsidP="00EA5805">
      <w:pPr>
        <w:pStyle w:val="Heading1"/>
        <w:rPr>
          <w:lang w:val="en-GB"/>
        </w:rPr>
      </w:pPr>
      <w:bookmarkStart w:id="8" w:name="_Toc67752206"/>
      <w:r w:rsidRPr="7FA9F0CF">
        <w:rPr>
          <w:lang w:val="en-GB"/>
        </w:rPr>
        <w:lastRenderedPageBreak/>
        <w:t xml:space="preserve">Chapter 6: </w:t>
      </w:r>
      <w:r w:rsidR="00880802" w:rsidRPr="7FA9F0CF">
        <w:rPr>
          <w:lang w:val="en-GB"/>
        </w:rPr>
        <w:t>Direction of policy in the Government’s emissions reduction plan</w:t>
      </w:r>
      <w:r w:rsidR="008E0E1F" w:rsidRPr="7FA9F0CF">
        <w:rPr>
          <w:lang w:val="en-GB"/>
        </w:rPr>
        <w:t>: transport</w:t>
      </w:r>
      <w:bookmarkEnd w:id="8"/>
    </w:p>
    <w:tbl>
      <w:tblPr>
        <w:tblStyle w:val="GridTable4-Accent2"/>
        <w:tblW w:w="0" w:type="auto"/>
        <w:shd w:val="clear" w:color="auto" w:fill="C6B1D1"/>
        <w:tblCellMar>
          <w:top w:w="57" w:type="dxa"/>
          <w:bottom w:w="57" w:type="dxa"/>
        </w:tblCellMar>
        <w:tblLook w:val="04A0" w:firstRow="1" w:lastRow="0" w:firstColumn="1" w:lastColumn="0" w:noHBand="0" w:noVBand="1"/>
      </w:tblPr>
      <w:tblGrid>
        <w:gridCol w:w="9016"/>
      </w:tblGrid>
      <w:tr w:rsidR="003D0B38" w:rsidRPr="00EA4071" w14:paraId="78679BF9" w14:textId="77777777" w:rsidTr="00426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9E76B3"/>
              <w:left w:val="single" w:sz="4" w:space="0" w:color="9E76B3"/>
              <w:bottom w:val="single" w:sz="4" w:space="0" w:color="9E76B3"/>
              <w:right w:val="single" w:sz="4" w:space="0" w:color="9E76B3"/>
            </w:tcBorders>
            <w:shd w:val="clear" w:color="auto" w:fill="9E76B3"/>
          </w:tcPr>
          <w:p w14:paraId="63F60F66" w14:textId="77777777" w:rsidR="003D0B38" w:rsidRPr="00BA7CD8" w:rsidRDefault="003D0B38" w:rsidP="00426E37">
            <w:pPr>
              <w:pStyle w:val="Content"/>
              <w:spacing w:before="0" w:after="0"/>
              <w:jc w:val="center"/>
              <w:rPr>
                <w:bCs w:val="0"/>
                <w:color w:val="000000" w:themeColor="text1"/>
                <w:sz w:val="24"/>
                <w:szCs w:val="24"/>
                <w:lang w:val="en-US"/>
              </w:rPr>
            </w:pPr>
            <w:r>
              <w:rPr>
                <w:bCs w:val="0"/>
                <w:sz w:val="28"/>
                <w:szCs w:val="28"/>
              </w:rPr>
              <w:t>Consultation question 14</w:t>
            </w:r>
          </w:p>
          <w:p w14:paraId="71B99A76" w14:textId="77777777" w:rsidR="003D0B38" w:rsidRPr="00EA4071" w:rsidRDefault="003D0B38" w:rsidP="00426E37">
            <w:pPr>
              <w:pStyle w:val="Content"/>
              <w:spacing w:before="0" w:after="0"/>
              <w:jc w:val="center"/>
              <w:rPr>
                <w:b w:val="0"/>
                <w:sz w:val="28"/>
                <w:szCs w:val="28"/>
              </w:rPr>
            </w:pPr>
            <w:r>
              <w:rPr>
                <w:b w:val="0"/>
                <w:sz w:val="28"/>
                <w:szCs w:val="28"/>
                <w:lang w:val="en-US"/>
              </w:rPr>
              <w:t>Transport</w:t>
            </w:r>
          </w:p>
        </w:tc>
      </w:tr>
      <w:tr w:rsidR="003D0B38" w:rsidRPr="00EA4071" w14:paraId="1CD90D64" w14:textId="77777777" w:rsidTr="00426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9E76B3"/>
              <w:left w:val="single" w:sz="4" w:space="0" w:color="9E76B3"/>
              <w:bottom w:val="single" w:sz="4" w:space="0" w:color="9E76B3"/>
              <w:right w:val="single" w:sz="4" w:space="0" w:color="9E76B3"/>
            </w:tcBorders>
            <w:shd w:val="clear" w:color="auto" w:fill="C6B1D1"/>
          </w:tcPr>
          <w:p w14:paraId="39D78A15" w14:textId="77777777" w:rsidR="003D0B38" w:rsidRPr="00E5673C" w:rsidRDefault="003D0B38" w:rsidP="00426E37">
            <w:r w:rsidRPr="00B9426C">
              <w:t>Do you support the package of recommendations and actions for the transport sector</w:t>
            </w:r>
            <w:r>
              <w:rPr>
                <w:bCs w:val="0"/>
              </w:rPr>
              <w:t>? Is there anything we should change, and why</w:t>
            </w:r>
            <w:r w:rsidRPr="00E5673C">
              <w:rPr>
                <w:bCs w:val="0"/>
              </w:rPr>
              <w:t>?</w:t>
            </w:r>
          </w:p>
        </w:tc>
      </w:tr>
    </w:tbl>
    <w:p w14:paraId="791773FA" w14:textId="02C2EFD3" w:rsidR="00C8268B" w:rsidRDefault="003D0B38" w:rsidP="008E0E1F">
      <w:pPr>
        <w:rPr>
          <w:lang w:val="en-GB"/>
        </w:rPr>
      </w:pPr>
      <w:r w:rsidRPr="763DA95B">
        <w:rPr>
          <w:lang w:val="en-GB"/>
        </w:rPr>
        <w:t xml:space="preserve">The Transportation Group broadly supports the CCC’s recommendations and actions. </w:t>
      </w:r>
      <w:r w:rsidR="003745B5" w:rsidRPr="763DA95B">
        <w:rPr>
          <w:lang w:val="en-GB"/>
        </w:rPr>
        <w:t>The changes we suggest are numbered in green shading throughout this submission.</w:t>
      </w:r>
    </w:p>
    <w:p w14:paraId="1E9C002F" w14:textId="02C2EFD3" w:rsidR="00C23834" w:rsidRDefault="00C23834" w:rsidP="008E0E1F">
      <w:pPr>
        <w:rPr>
          <w:lang w:val="en-GB"/>
        </w:rPr>
      </w:pPr>
      <w:r w:rsidRPr="763DA95B">
        <w:rPr>
          <w:lang w:val="en-GB"/>
        </w:rPr>
        <w:t>___</w:t>
      </w:r>
    </w:p>
    <w:p w14:paraId="6B42E4FC" w14:textId="46C962F7" w:rsidR="004A34F0" w:rsidRDefault="003F0138" w:rsidP="008E0E1F">
      <w:pPr>
        <w:rPr>
          <w:lang w:val="en-GB"/>
        </w:rPr>
      </w:pPr>
      <w:r>
        <w:rPr>
          <w:lang w:val="en-GB"/>
        </w:rPr>
        <w:t xml:space="preserve">Necessary </w:t>
      </w:r>
      <w:r w:rsidR="00AC4B80">
        <w:rPr>
          <w:lang w:val="en-GB"/>
        </w:rPr>
        <w:t>action 2 is the first transport-related action</w:t>
      </w:r>
      <w:r w:rsidR="00D61883">
        <w:rPr>
          <w:lang w:val="en-GB"/>
        </w:rPr>
        <w:t xml:space="preserve"> (p.106)</w:t>
      </w:r>
      <w:r w:rsidR="00C23834">
        <w:rPr>
          <w:lang w:val="en-GB"/>
        </w:rPr>
        <w:t>:</w:t>
      </w:r>
    </w:p>
    <w:p w14:paraId="58ABEB43" w14:textId="77777777" w:rsidR="00266D77" w:rsidRDefault="00266D77" w:rsidP="008E0E1F">
      <w:pPr>
        <w:rPr>
          <w:lang w:val="en-GB"/>
        </w:rPr>
      </w:pPr>
    </w:p>
    <w:tbl>
      <w:tblPr>
        <w:tblStyle w:val="GridTable4-Accent2"/>
        <w:tblW w:w="0" w:type="auto"/>
        <w:tblCellMar>
          <w:top w:w="57" w:type="dxa"/>
          <w:bottom w:w="57" w:type="dxa"/>
        </w:tblCellMar>
        <w:tblLook w:val="04A0" w:firstRow="1" w:lastRow="0" w:firstColumn="1" w:lastColumn="0" w:noHBand="0" w:noVBand="1"/>
      </w:tblPr>
      <w:tblGrid>
        <w:gridCol w:w="9016"/>
      </w:tblGrid>
      <w:tr w:rsidR="00C8268B" w:rsidRPr="002520DA" w14:paraId="74B8EA3B" w14:textId="77777777" w:rsidTr="00426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C023B0" w14:textId="77777777" w:rsidR="00C8268B" w:rsidRPr="002520DA" w:rsidRDefault="00C8268B" w:rsidP="00426E37">
            <w:pPr>
              <w:spacing w:before="0"/>
              <w:jc w:val="center"/>
              <w:rPr>
                <w:color w:val="000000" w:themeColor="text1"/>
                <w:sz w:val="24"/>
                <w:lang w:val="en-US"/>
              </w:rPr>
            </w:pPr>
            <w:r w:rsidRPr="002520DA">
              <w:rPr>
                <w:sz w:val="28"/>
                <w:szCs w:val="28"/>
              </w:rPr>
              <w:t>Time</w:t>
            </w:r>
            <w:r w:rsidRPr="00DE4485">
              <w:rPr>
                <w:sz w:val="28"/>
                <w:szCs w:val="28"/>
              </w:rPr>
              <w:t>-</w:t>
            </w:r>
            <w:r w:rsidRPr="002520DA">
              <w:rPr>
                <w:sz w:val="28"/>
                <w:szCs w:val="28"/>
              </w:rPr>
              <w:t xml:space="preserve">critical </w:t>
            </w:r>
            <w:r w:rsidRPr="00DE4485">
              <w:rPr>
                <w:sz w:val="28"/>
                <w:szCs w:val="28"/>
              </w:rPr>
              <w:t>necessary action</w:t>
            </w:r>
            <w:r w:rsidRPr="002520DA">
              <w:rPr>
                <w:sz w:val="28"/>
                <w:szCs w:val="28"/>
              </w:rPr>
              <w:t xml:space="preserve"> </w:t>
            </w:r>
            <w:r>
              <w:rPr>
                <w:sz w:val="28"/>
                <w:szCs w:val="28"/>
              </w:rPr>
              <w:t>2</w:t>
            </w:r>
          </w:p>
          <w:p w14:paraId="3225F1C5" w14:textId="77777777" w:rsidR="00C8268B" w:rsidRPr="00B052DC" w:rsidRDefault="00C8268B" w:rsidP="00426E37">
            <w:pPr>
              <w:spacing w:before="0"/>
              <w:jc w:val="center"/>
              <w:rPr>
                <w:b w:val="0"/>
                <w:bCs w:val="0"/>
                <w:sz w:val="28"/>
                <w:szCs w:val="28"/>
              </w:rPr>
            </w:pPr>
            <w:r w:rsidRPr="00B052DC">
              <w:rPr>
                <w:b w:val="0"/>
                <w:bCs w:val="0"/>
                <w:sz w:val="28"/>
                <w:szCs w:val="28"/>
                <w:lang w:val="en-US"/>
              </w:rPr>
              <w:t>Accelerate light electric vehicle uptake</w:t>
            </w:r>
          </w:p>
        </w:tc>
      </w:tr>
      <w:tr w:rsidR="00C8268B" w:rsidRPr="002520DA" w14:paraId="0ADB4B43" w14:textId="77777777" w:rsidTr="00426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4FEC733" w14:textId="77777777" w:rsidR="00C8268B" w:rsidRPr="002520DA" w:rsidRDefault="00C8268B" w:rsidP="00426E37">
            <w:r w:rsidRPr="002520DA">
              <w:t xml:space="preserve">Light electric vehicle uptake needs to be accelerated as fast as possible. To meet our proposed emissions budgets and be on track for 2050, at least 50% of all light vehicle (cars, SUVs, vans and utes) and motorbike imports should be electric by 2027 (both </w:t>
            </w:r>
            <w:r>
              <w:t xml:space="preserve">battery </w:t>
            </w:r>
            <w:r w:rsidRPr="002520DA">
              <w:t xml:space="preserve">EV and </w:t>
            </w:r>
            <w:r>
              <w:t>plug-in hybrid E</w:t>
            </w:r>
            <w:r w:rsidRPr="002520DA">
              <w:t>V). To achieve this, we recommend in the first budget period the Government:</w:t>
            </w:r>
          </w:p>
          <w:p w14:paraId="6D2CF3C6" w14:textId="77777777" w:rsidR="00C8268B" w:rsidRPr="002520DA" w:rsidRDefault="00C8268B" w:rsidP="007A686F">
            <w:pPr>
              <w:numPr>
                <w:ilvl w:val="0"/>
                <w:numId w:val="8"/>
              </w:numPr>
              <w:spacing w:before="240" w:after="60"/>
            </w:pPr>
            <w:r w:rsidRPr="002520DA">
              <w:t>Place a time limit on light vehicles with internal combustion engines entering, being manufactured, or assembled in Aotearoa, other than in specified exceptional circumstances. The limit should be no later than 2035 and</w:t>
            </w:r>
            <w:r>
              <w:t>,</w:t>
            </w:r>
            <w:r w:rsidRPr="002520DA">
              <w:t xml:space="preserve"> if possible</w:t>
            </w:r>
            <w:r>
              <w:t>,</w:t>
            </w:r>
            <w:r w:rsidRPr="002520DA">
              <w:t xml:space="preserve"> as early as 2030.</w:t>
            </w:r>
          </w:p>
          <w:p w14:paraId="7090E3B2" w14:textId="77777777" w:rsidR="00C8268B" w:rsidRPr="002520DA" w:rsidRDefault="00C8268B" w:rsidP="007A686F">
            <w:pPr>
              <w:numPr>
                <w:ilvl w:val="0"/>
                <w:numId w:val="8"/>
              </w:numPr>
              <w:spacing w:before="240" w:after="60"/>
            </w:pPr>
            <w:r w:rsidRPr="002520DA">
              <w:t>Introduce a package of measures to ensure there are enough E</w:t>
            </w:r>
            <w:r>
              <w:t>V</w:t>
            </w:r>
            <w:r w:rsidRPr="002520DA">
              <w:t xml:space="preserve">s entering Aotearoa, and to reduce the upfront cost of purchasing light electric vehicles until such time as they </w:t>
            </w:r>
            <w:r>
              <w:t xml:space="preserve">are </w:t>
            </w:r>
            <w:r w:rsidRPr="002520DA">
              <w:t xml:space="preserve">cost competitive </w:t>
            </w:r>
            <w:r>
              <w:t>with</w:t>
            </w:r>
            <w:r w:rsidRPr="002520DA">
              <w:t xml:space="preserve"> the equivalent ICE vehicle.</w:t>
            </w:r>
          </w:p>
          <w:p w14:paraId="017C0BBE" w14:textId="77777777" w:rsidR="00C8268B" w:rsidRPr="002520DA" w:rsidRDefault="00C8268B" w:rsidP="007A686F">
            <w:pPr>
              <w:numPr>
                <w:ilvl w:val="0"/>
                <w:numId w:val="8"/>
              </w:numPr>
              <w:spacing w:before="240" w:after="60"/>
            </w:pPr>
            <w:r w:rsidRPr="002520DA">
              <w:t>Improve the efficiency of the</w:t>
            </w:r>
            <w:r>
              <w:t xml:space="preserve"> light vehicle</w:t>
            </w:r>
            <w:r w:rsidRPr="002520DA">
              <w:t xml:space="preserve"> fleet </w:t>
            </w:r>
            <w:r>
              <w:t xml:space="preserve">and stop Aotearoa receiving inefficient vehicles by introducing an emissions target for light vehicles new to Aotearoa </w:t>
            </w:r>
            <w:r w:rsidRPr="002520DA">
              <w:t>of 105 grams CO</w:t>
            </w:r>
            <w:r w:rsidRPr="00825859">
              <w:rPr>
                <w:vertAlign w:val="subscript"/>
              </w:rPr>
              <w:t>2</w:t>
            </w:r>
            <w:r w:rsidRPr="002520DA">
              <w:t xml:space="preserve"> per kilometre by 2028.</w:t>
            </w:r>
          </w:p>
          <w:p w14:paraId="0EDB370B" w14:textId="77777777" w:rsidR="00C8268B" w:rsidRPr="002520DA" w:rsidRDefault="00C8268B" w:rsidP="007A686F">
            <w:pPr>
              <w:numPr>
                <w:ilvl w:val="0"/>
                <w:numId w:val="8"/>
              </w:numPr>
              <w:spacing w:before="240" w:after="60"/>
            </w:pPr>
            <w:r w:rsidRPr="002520DA">
              <w:t>Develop a charging infrastructure plan for the rapid uptake of E</w:t>
            </w:r>
            <w:r>
              <w:t>V</w:t>
            </w:r>
            <w:r w:rsidRPr="002520DA">
              <w:t>s to ensure greater coverage, multiple points of access and rapid charging, and continue to support the practical roll out of charging infrastructure.</w:t>
            </w:r>
          </w:p>
        </w:tc>
      </w:tr>
    </w:tbl>
    <w:p w14:paraId="2215F725" w14:textId="1F63A7B0" w:rsidR="00F941AF" w:rsidRDefault="00A761E5" w:rsidP="008320A5">
      <w:pPr>
        <w:rPr>
          <w:lang w:val="en-GB"/>
        </w:rPr>
      </w:pPr>
      <w:r w:rsidRPr="4B9D702D">
        <w:rPr>
          <w:lang w:val="en-GB"/>
        </w:rPr>
        <w:t>Shifting towards electric</w:t>
      </w:r>
      <w:r w:rsidR="00F941AF" w:rsidRPr="4B9D702D">
        <w:rPr>
          <w:lang w:val="en-GB"/>
        </w:rPr>
        <w:t xml:space="preserve"> </w:t>
      </w:r>
      <w:r w:rsidR="49DD846D" w:rsidRPr="4B9D702D">
        <w:rPr>
          <w:lang w:val="en-GB"/>
        </w:rPr>
        <w:t>cars</w:t>
      </w:r>
      <w:r w:rsidR="00F941AF" w:rsidRPr="4B9D702D">
        <w:rPr>
          <w:lang w:val="en-GB"/>
        </w:rPr>
        <w:t xml:space="preserve"> </w:t>
      </w:r>
      <w:r w:rsidRPr="4B9D702D">
        <w:rPr>
          <w:lang w:val="en-GB"/>
        </w:rPr>
        <w:t xml:space="preserve">is </w:t>
      </w:r>
      <w:r w:rsidR="34F4BF8A" w:rsidRPr="4B9D702D">
        <w:rPr>
          <w:lang w:val="en-GB"/>
        </w:rPr>
        <w:t>but an interim measure</w:t>
      </w:r>
      <w:r w:rsidRPr="4B9D702D">
        <w:rPr>
          <w:lang w:val="en-GB"/>
        </w:rPr>
        <w:t xml:space="preserve"> towards </w:t>
      </w:r>
      <w:r w:rsidR="000A0BB9" w:rsidRPr="4B9D702D">
        <w:rPr>
          <w:lang w:val="en-GB"/>
        </w:rPr>
        <w:t>emissions</w:t>
      </w:r>
      <w:r w:rsidRPr="4B9D702D">
        <w:rPr>
          <w:lang w:val="en-GB"/>
        </w:rPr>
        <w:t xml:space="preserve"> reduction</w:t>
      </w:r>
      <w:r w:rsidR="00881D6B" w:rsidRPr="4B9D702D">
        <w:rPr>
          <w:lang w:val="en-GB"/>
        </w:rPr>
        <w:t xml:space="preserve">. The potential of </w:t>
      </w:r>
      <w:r w:rsidR="001414F7" w:rsidRPr="4B9D702D">
        <w:rPr>
          <w:lang w:val="en-GB"/>
        </w:rPr>
        <w:t>electric</w:t>
      </w:r>
      <w:r w:rsidR="00881D6B" w:rsidRPr="4B9D702D">
        <w:rPr>
          <w:lang w:val="en-GB"/>
        </w:rPr>
        <w:t xml:space="preserve"> micro</w:t>
      </w:r>
      <w:r w:rsidR="138A42BA" w:rsidRPr="4B9D702D">
        <w:rPr>
          <w:lang w:val="en-GB"/>
        </w:rPr>
        <w:t>-</w:t>
      </w:r>
      <w:r w:rsidR="00881D6B" w:rsidRPr="4B9D702D">
        <w:rPr>
          <w:lang w:val="en-GB"/>
        </w:rPr>
        <w:t>mobility devices should not be overlook</w:t>
      </w:r>
      <w:r w:rsidR="001414F7" w:rsidRPr="4B9D702D">
        <w:rPr>
          <w:lang w:val="en-GB"/>
        </w:rPr>
        <w:t>ed</w:t>
      </w:r>
      <w:r w:rsidR="00881D6B" w:rsidRPr="4B9D702D">
        <w:rPr>
          <w:lang w:val="en-GB"/>
        </w:rPr>
        <w:t xml:space="preserve"> as it has </w:t>
      </w:r>
      <w:r w:rsidR="008544D6" w:rsidRPr="4B9D702D">
        <w:rPr>
          <w:lang w:val="en-GB"/>
        </w:rPr>
        <w:t xml:space="preserve">proved to be an accepted alternative form of travel </w:t>
      </w:r>
      <w:r w:rsidR="000A0BB9" w:rsidRPr="4B9D702D">
        <w:rPr>
          <w:lang w:val="en-GB"/>
        </w:rPr>
        <w:t xml:space="preserve">and is outselling EVs 10 to 1 </w:t>
      </w:r>
      <w:r w:rsidRPr="4B9D702D">
        <w:rPr>
          <w:lang w:val="en-GB"/>
        </w:rPr>
        <w:fldChar w:fldCharType="begin"/>
      </w:r>
      <w:r w:rsidRPr="4B9D702D">
        <w:rPr>
          <w:lang w:val="en-GB"/>
        </w:rPr>
        <w:instrText xml:space="preserve"> ADDIN EN.CITE &lt;EndNote&gt;&lt;Cite&gt;&lt;Author&gt;ViaStrada&lt;/Author&gt;&lt;Year&gt;2017&lt;/Year&gt;&lt;RecNum&gt;3579&lt;/RecNum&gt;&lt;DisplayText&gt;(ViaStrada 2017, Beca 2021)&lt;/DisplayText&gt;&lt;record&gt;&lt;rec-number&gt;3579&lt;/rec-number&gt;&lt;foreign-keys&gt;&lt;key app="EN" db-id="sd2rx2xfxx9s25ed9ac5f9dbdtewee220ewx" timestamp="1598307647" guid="d1f7e07d-5d3e-4e21-ba5e-7b6a94eb84cb"&gt;3579&lt;/key&gt;&lt;/foreign-keys&gt;&lt;ref-type name="Report"&gt;27&lt;/ref-type&gt;&lt;contributors&gt;&lt;authors&gt;&lt;author&gt;ViaStrada&lt;/author&gt;&lt;/authors&gt;&lt;tertiary-authors&gt;&lt;author&gt;Waka Kotahi NZ Transport Agency,&lt;/author&gt;&lt;/tertiary-authors&gt;&lt;/contributors&gt;&lt;titles&gt;&lt;title&gt;Research Report 621 Regulations and safety for electric bicycles and other low-powered vehicles&lt;/title&gt;&lt;/titles&gt;&lt;dates&gt;&lt;year&gt;2017&lt;/year&gt;&lt;/dates&gt;&lt;urls&gt;&lt;related-urls&gt;&lt;url&gt;https://www.nzta.govt.nz/resources/research/reports/621/&lt;/url&gt;&lt;/related-urls&gt;&lt;/urls&gt;&lt;/record&gt;&lt;/Cite&gt;&lt;Cite&gt;&lt;Author&gt;Beca&lt;/Author&gt;&lt;Year&gt;2021&lt;/Year&gt;&lt;RecNum&gt;3653&lt;/RecNum&gt;&lt;record&gt;&lt;rec-number&gt;3653&lt;/rec-number&gt;&lt;foreign-keys&gt;&lt;key app="EN" db-id="sd2rx2xfxx9s25ed9ac5f9dbdtewee220ewx" timestamp="1616453056" guid="d00c6ea8-c638-4813-8ad2-9620810ce5f4"&gt;3653&lt;/key&gt;&lt;/foreign-keys&gt;&lt;ref-type name="Report"&gt;27&lt;/ref-type&gt;&lt;contributors&gt;&lt;authors&gt;&lt;author&gt;Beca&lt;/author&gt;&lt;/authors&gt;&lt;tertiary-authors&gt;&lt;author&gt;Waka Kotahi NZ Transport Agency,&lt;/author&gt;&lt;/tertiary-authors&gt;&lt;/contributors&gt;&lt;titles&gt;&lt;title&gt;Research Report 674 Mode shift to micromobility&lt;/title&gt;&lt;/titles&gt;&lt;dates&gt;&lt;year&gt;2021&lt;/year&gt;&lt;/dates&gt;&lt;urls&gt;&lt;related-urls&gt;&lt;url&gt;https://www.nzta.govt.nz/resources/research/reports/674/&lt;/url&gt;&lt;/related-urls&gt;&lt;/urls&gt;&lt;/record&gt;&lt;/Cite&gt;&lt;/EndNote&gt;</w:instrText>
      </w:r>
      <w:r w:rsidRPr="4B9D702D">
        <w:rPr>
          <w:lang w:val="en-GB"/>
        </w:rPr>
        <w:fldChar w:fldCharType="separate"/>
      </w:r>
      <w:r w:rsidR="002B4653" w:rsidRPr="4B9D702D">
        <w:rPr>
          <w:noProof/>
          <w:lang w:val="en-GB"/>
        </w:rPr>
        <w:t>(ViaStrada 2017, Beca 2021)</w:t>
      </w:r>
      <w:r w:rsidRPr="4B9D702D">
        <w:rPr>
          <w:lang w:val="en-GB"/>
        </w:rPr>
        <w:fldChar w:fldCharType="end"/>
      </w:r>
      <w:r w:rsidR="008544D6" w:rsidRPr="4B9D702D">
        <w:rPr>
          <w:lang w:val="en-GB"/>
        </w:rPr>
        <w:t>.</w:t>
      </w:r>
      <w:r w:rsidR="00C7417C" w:rsidRPr="4B9D702D">
        <w:rPr>
          <w:lang w:val="en-GB"/>
        </w:rPr>
        <w:t xml:space="preserve"> </w:t>
      </w:r>
      <w:r w:rsidR="1695CF74" w:rsidRPr="4B9D702D">
        <w:rPr>
          <w:lang w:val="en-GB"/>
        </w:rPr>
        <w:t xml:space="preserve">Promotion of electric micro-mobility is also a means to shifting more rapidly towards better street design, because </w:t>
      </w:r>
      <w:r w:rsidR="1695CF74" w:rsidRPr="00015A93">
        <w:rPr>
          <w:lang w:val="en-GB"/>
        </w:rPr>
        <w:t>the</w:t>
      </w:r>
      <w:r w:rsidR="2D181EBD" w:rsidRPr="00015A93">
        <w:rPr>
          <w:lang w:val="en-GB"/>
        </w:rPr>
        <w:t>ir</w:t>
      </w:r>
      <w:r w:rsidR="1695CF74" w:rsidRPr="4B9D702D">
        <w:rPr>
          <w:lang w:val="en-GB"/>
        </w:rPr>
        <w:t xml:space="preserve"> popularity can increasingly be used to dispel political arguments against re</w:t>
      </w:r>
      <w:r w:rsidR="0EE90003" w:rsidRPr="4B9D702D">
        <w:rPr>
          <w:lang w:val="en-GB"/>
        </w:rPr>
        <w:t>allocating roadspace to</w:t>
      </w:r>
      <w:r w:rsidR="1695CF74" w:rsidRPr="4B9D702D">
        <w:rPr>
          <w:lang w:val="en-GB"/>
        </w:rPr>
        <w:t xml:space="preserve"> </w:t>
      </w:r>
      <w:r w:rsidR="438BE19F" w:rsidRPr="4B9D702D">
        <w:rPr>
          <w:lang w:val="en-GB"/>
        </w:rPr>
        <w:t xml:space="preserve">sustainable transport. </w:t>
      </w:r>
      <w:r w:rsidR="00C7417C" w:rsidRPr="4B9D702D">
        <w:rPr>
          <w:lang w:val="en-GB"/>
        </w:rPr>
        <w:t>We argue that t</w:t>
      </w:r>
      <w:r w:rsidR="000B7DB0" w:rsidRPr="4B9D702D">
        <w:rPr>
          <w:lang w:val="en-GB"/>
        </w:rPr>
        <w:t xml:space="preserve">he action statement to accelerate the use of light electric vehicles </w:t>
      </w:r>
      <w:r w:rsidR="00C7417C" w:rsidRPr="4B9D702D">
        <w:rPr>
          <w:lang w:val="en-GB"/>
        </w:rPr>
        <w:t xml:space="preserve">should include the </w:t>
      </w:r>
      <w:r w:rsidR="00345C6B" w:rsidRPr="4B9D702D">
        <w:rPr>
          <w:lang w:val="en-GB"/>
        </w:rPr>
        <w:t>acceleration of the use</w:t>
      </w:r>
      <w:r w:rsidR="00C7417C" w:rsidRPr="4B9D702D">
        <w:rPr>
          <w:lang w:val="en-GB"/>
        </w:rPr>
        <w:t xml:space="preserve"> of elec</w:t>
      </w:r>
      <w:r w:rsidR="00345C6B" w:rsidRPr="4B9D702D">
        <w:rPr>
          <w:lang w:val="en-GB"/>
        </w:rPr>
        <w:t>tric micro</w:t>
      </w:r>
      <w:r w:rsidR="39989D82" w:rsidRPr="4B9D702D">
        <w:rPr>
          <w:lang w:val="en-GB"/>
        </w:rPr>
        <w:t>-</w:t>
      </w:r>
      <w:r w:rsidR="00345C6B" w:rsidRPr="4B9D702D">
        <w:rPr>
          <w:lang w:val="en-GB"/>
        </w:rPr>
        <w:t>mobility devices.</w:t>
      </w:r>
    </w:p>
    <w:p w14:paraId="3AED403D" w14:textId="7BB7ED60" w:rsidR="001B07FA" w:rsidRDefault="002B4653" w:rsidP="001B07FA">
      <w:pPr>
        <w:pStyle w:val="TG-RECOMMENDATION"/>
        <w:rPr>
          <w:lang w:val="en-GB"/>
        </w:rPr>
      </w:pPr>
      <w:r w:rsidRPr="711D53C3">
        <w:rPr>
          <w:lang w:val="en-GB"/>
        </w:rPr>
        <w:t>Action 2 should</w:t>
      </w:r>
      <w:r w:rsidR="001B07FA" w:rsidRPr="711D53C3">
        <w:rPr>
          <w:lang w:val="en-GB"/>
        </w:rPr>
        <w:t xml:space="preserve"> incorporat</w:t>
      </w:r>
      <w:r w:rsidRPr="711D53C3">
        <w:rPr>
          <w:lang w:val="en-GB"/>
        </w:rPr>
        <w:t>e</w:t>
      </w:r>
      <w:r w:rsidR="001B07FA" w:rsidRPr="711D53C3">
        <w:rPr>
          <w:lang w:val="en-GB"/>
        </w:rPr>
        <w:t xml:space="preserve"> the acceleration of electric </w:t>
      </w:r>
      <w:r w:rsidR="00DD4A95" w:rsidRPr="711D53C3">
        <w:rPr>
          <w:lang w:val="en-GB"/>
        </w:rPr>
        <w:t>micro</w:t>
      </w:r>
      <w:r w:rsidR="680840F7" w:rsidRPr="711D53C3">
        <w:rPr>
          <w:lang w:val="en-GB"/>
        </w:rPr>
        <w:t>-</w:t>
      </w:r>
      <w:r w:rsidR="00B86675" w:rsidRPr="711D53C3">
        <w:rPr>
          <w:lang w:val="en-GB"/>
        </w:rPr>
        <w:t xml:space="preserve">mobility </w:t>
      </w:r>
      <w:r w:rsidR="001B07FA" w:rsidRPr="711D53C3">
        <w:rPr>
          <w:lang w:val="en-GB"/>
        </w:rPr>
        <w:t>devices such as e-bikes and e-scooter</w:t>
      </w:r>
      <w:r w:rsidR="1DF28AD9" w:rsidRPr="711D53C3">
        <w:rPr>
          <w:lang w:val="en-GB"/>
        </w:rPr>
        <w:t>s,</w:t>
      </w:r>
      <w:r w:rsidR="001B07FA" w:rsidRPr="711D53C3">
        <w:rPr>
          <w:lang w:val="en-GB"/>
        </w:rPr>
        <w:t xml:space="preserve"> accompanied by a national support towards </w:t>
      </w:r>
      <w:r w:rsidR="5ECC580C" w:rsidRPr="711D53C3">
        <w:rPr>
          <w:lang w:val="en-GB"/>
        </w:rPr>
        <w:t>mode shift</w:t>
      </w:r>
      <w:r w:rsidR="001B07FA" w:rsidRPr="711D53C3">
        <w:rPr>
          <w:lang w:val="en-GB"/>
        </w:rPr>
        <w:t xml:space="preserve">. </w:t>
      </w:r>
    </w:p>
    <w:p w14:paraId="32C44A96" w14:textId="4B99FBAA" w:rsidR="008653F9" w:rsidRPr="002E2ACD" w:rsidRDefault="002E2ACD" w:rsidP="007A686F">
      <w:pPr>
        <w:pStyle w:val="TG-RECOMMENDATION"/>
        <w:numPr>
          <w:ilvl w:val="1"/>
          <w:numId w:val="10"/>
        </w:numPr>
        <w:rPr>
          <w:lang w:val="en-GB"/>
        </w:rPr>
      </w:pPr>
      <w:r>
        <w:rPr>
          <w:lang w:val="en-GB"/>
        </w:rPr>
        <w:lastRenderedPageBreak/>
        <w:t xml:space="preserve">Extend the </w:t>
      </w:r>
      <w:r w:rsidR="00BA7FAD">
        <w:rPr>
          <w:lang w:val="en-GB"/>
        </w:rPr>
        <w:t>package of measure</w:t>
      </w:r>
      <w:r w:rsidR="000A0BB9">
        <w:rPr>
          <w:lang w:val="en-GB"/>
        </w:rPr>
        <w:t>s</w:t>
      </w:r>
      <w:r w:rsidR="00BA7FAD">
        <w:rPr>
          <w:lang w:val="en-GB"/>
        </w:rPr>
        <w:t xml:space="preserve"> (b) with </w:t>
      </w:r>
      <w:r w:rsidR="002905CE">
        <w:rPr>
          <w:lang w:val="en-GB"/>
        </w:rPr>
        <w:t>e</w:t>
      </w:r>
      <w:r w:rsidR="001B07FA" w:rsidRPr="002E2ACD">
        <w:rPr>
          <w:lang w:val="en-GB"/>
        </w:rPr>
        <w:t>ncourag</w:t>
      </w:r>
      <w:r w:rsidR="002905CE">
        <w:rPr>
          <w:lang w:val="en-GB"/>
        </w:rPr>
        <w:t>ing measures for the</w:t>
      </w:r>
      <w:r w:rsidR="001B07FA" w:rsidRPr="002E2ACD">
        <w:rPr>
          <w:lang w:val="en-GB"/>
        </w:rPr>
        <w:t xml:space="preserve"> </w:t>
      </w:r>
      <w:r w:rsidR="00F40558" w:rsidRPr="002E2ACD">
        <w:rPr>
          <w:lang w:val="en-GB"/>
        </w:rPr>
        <w:t>import</w:t>
      </w:r>
      <w:r w:rsidR="004E79EB" w:rsidRPr="002E2ACD">
        <w:rPr>
          <w:lang w:val="en-GB"/>
        </w:rPr>
        <w:t xml:space="preserve">, </w:t>
      </w:r>
      <w:r w:rsidR="00D26D62" w:rsidRPr="002E2ACD">
        <w:rPr>
          <w:lang w:val="en-GB"/>
        </w:rPr>
        <w:t>manufacturing,</w:t>
      </w:r>
      <w:r w:rsidR="00F40558" w:rsidRPr="002E2ACD">
        <w:rPr>
          <w:lang w:val="en-GB"/>
        </w:rPr>
        <w:t xml:space="preserve"> and </w:t>
      </w:r>
      <w:r w:rsidR="004E79EB" w:rsidRPr="002E2ACD">
        <w:rPr>
          <w:lang w:val="en-GB"/>
        </w:rPr>
        <w:t xml:space="preserve">sales of </w:t>
      </w:r>
      <w:r w:rsidR="00D26D62" w:rsidRPr="002E2ACD">
        <w:rPr>
          <w:lang w:val="en-GB"/>
        </w:rPr>
        <w:t xml:space="preserve">electric </w:t>
      </w:r>
      <w:r w:rsidR="004E79EB" w:rsidRPr="002E2ACD">
        <w:rPr>
          <w:lang w:val="en-GB"/>
        </w:rPr>
        <w:t xml:space="preserve">micro mobility </w:t>
      </w:r>
      <w:r w:rsidR="00D26D62" w:rsidRPr="002E2ACD">
        <w:rPr>
          <w:lang w:val="en-GB"/>
        </w:rPr>
        <w:t>devices.</w:t>
      </w:r>
      <w:r w:rsidRPr="002E2ACD">
        <w:rPr>
          <w:lang w:val="en-GB"/>
        </w:rPr>
        <w:t xml:space="preserve"> </w:t>
      </w:r>
      <w:r w:rsidR="007219A6">
        <w:rPr>
          <w:lang w:val="en-GB"/>
        </w:rPr>
        <w:t>This should include separate classification for e-bikes and e-scooters in the Customs Tariff document.</w:t>
      </w:r>
    </w:p>
    <w:p w14:paraId="4CE8D92D" w14:textId="7B6C865E" w:rsidR="001B07FA" w:rsidRDefault="00E97903" w:rsidP="007A686F">
      <w:pPr>
        <w:pStyle w:val="TG-RECOMMENDATION"/>
        <w:numPr>
          <w:ilvl w:val="1"/>
          <w:numId w:val="10"/>
        </w:numPr>
        <w:rPr>
          <w:lang w:val="en-GB"/>
        </w:rPr>
      </w:pPr>
      <w:r w:rsidRPr="711D53C3">
        <w:rPr>
          <w:lang w:val="en-GB"/>
        </w:rPr>
        <w:t xml:space="preserve">Include the development of charging infrastructure for </w:t>
      </w:r>
      <w:r w:rsidR="005E1D14" w:rsidRPr="711D53C3">
        <w:rPr>
          <w:lang w:val="en-GB"/>
        </w:rPr>
        <w:t>micro</w:t>
      </w:r>
      <w:r w:rsidR="003B89F1" w:rsidRPr="711D53C3">
        <w:rPr>
          <w:lang w:val="en-GB"/>
        </w:rPr>
        <w:t>-</w:t>
      </w:r>
      <w:r w:rsidR="005E1D14" w:rsidRPr="711D53C3">
        <w:rPr>
          <w:lang w:val="en-GB"/>
        </w:rPr>
        <w:t>mobility devices</w:t>
      </w:r>
      <w:r w:rsidR="002B1970" w:rsidRPr="711D53C3">
        <w:rPr>
          <w:lang w:val="en-GB"/>
        </w:rPr>
        <w:t xml:space="preserve"> </w:t>
      </w:r>
      <w:r w:rsidR="005E1D14" w:rsidRPr="711D53C3">
        <w:rPr>
          <w:lang w:val="en-GB"/>
        </w:rPr>
        <w:t>alongside the development of charging infrastructure for EV</w:t>
      </w:r>
      <w:r w:rsidR="002B1970" w:rsidRPr="711D53C3">
        <w:rPr>
          <w:lang w:val="en-GB"/>
        </w:rPr>
        <w:t>s</w:t>
      </w:r>
      <w:r w:rsidR="005E1D14" w:rsidRPr="711D53C3">
        <w:rPr>
          <w:lang w:val="en-GB"/>
        </w:rPr>
        <w:t xml:space="preserve">. </w:t>
      </w:r>
    </w:p>
    <w:p w14:paraId="2F628245" w14:textId="2E760429" w:rsidR="00D26D62" w:rsidRDefault="00B10D16" w:rsidP="007A686F">
      <w:pPr>
        <w:pStyle w:val="TG-RECOMMENDATION"/>
        <w:numPr>
          <w:ilvl w:val="1"/>
          <w:numId w:val="10"/>
        </w:numPr>
        <w:rPr>
          <w:lang w:val="en-GB"/>
        </w:rPr>
      </w:pPr>
      <w:r>
        <w:rPr>
          <w:lang w:val="en-GB"/>
        </w:rPr>
        <w:t xml:space="preserve">Develop supportive measures for </w:t>
      </w:r>
      <w:r w:rsidR="004F71BB">
        <w:rPr>
          <w:lang w:val="en-GB"/>
        </w:rPr>
        <w:t>behaviour</w:t>
      </w:r>
      <w:r w:rsidR="009471FD">
        <w:rPr>
          <w:lang w:val="en-GB"/>
        </w:rPr>
        <w:t>al</w:t>
      </w:r>
      <w:r w:rsidR="004F71BB">
        <w:rPr>
          <w:lang w:val="en-GB"/>
        </w:rPr>
        <w:t xml:space="preserve"> change by </w:t>
      </w:r>
      <w:r w:rsidR="009471FD">
        <w:rPr>
          <w:lang w:val="en-GB"/>
        </w:rPr>
        <w:t>means of mass communication</w:t>
      </w:r>
      <w:r w:rsidR="002B0327">
        <w:rPr>
          <w:lang w:val="en-GB"/>
        </w:rPr>
        <w:t xml:space="preserve"> and </w:t>
      </w:r>
      <w:r w:rsidR="00475DC6">
        <w:rPr>
          <w:lang w:val="en-GB"/>
        </w:rPr>
        <w:t xml:space="preserve">workplace travel planning </w:t>
      </w:r>
      <w:r w:rsidR="002B0327">
        <w:rPr>
          <w:lang w:val="en-GB"/>
        </w:rPr>
        <w:t>initiatives</w:t>
      </w:r>
      <w:r w:rsidR="007A51C2">
        <w:rPr>
          <w:lang w:val="en-GB"/>
        </w:rPr>
        <w:t>, including extending Waka Kotahi’s e-bike purchase support scheme.</w:t>
      </w:r>
    </w:p>
    <w:p w14:paraId="25769135" w14:textId="1CAD6555" w:rsidR="00150FA5" w:rsidRDefault="0002548D" w:rsidP="001B07FA">
      <w:pPr>
        <w:pStyle w:val="TG-RECOMMENDATION"/>
        <w:rPr>
          <w:lang w:val="en-GB"/>
        </w:rPr>
      </w:pPr>
      <w:r>
        <w:rPr>
          <w:lang w:val="en-GB"/>
        </w:rPr>
        <w:t>Clarify h</w:t>
      </w:r>
      <w:r w:rsidR="00AB5D1A">
        <w:rPr>
          <w:lang w:val="en-GB"/>
        </w:rPr>
        <w:t>ow the CCC</w:t>
      </w:r>
      <w:r>
        <w:rPr>
          <w:lang w:val="en-GB"/>
        </w:rPr>
        <w:t xml:space="preserve"> has</w:t>
      </w:r>
      <w:r w:rsidR="00AB5D1A">
        <w:rPr>
          <w:lang w:val="en-GB"/>
        </w:rPr>
        <w:t xml:space="preserve"> assessed action 2 to be time-critical but the other actions a</w:t>
      </w:r>
      <w:r>
        <w:rPr>
          <w:lang w:val="en-GB"/>
        </w:rPr>
        <w:t>s</w:t>
      </w:r>
      <w:r w:rsidR="00AB5D1A">
        <w:rPr>
          <w:lang w:val="en-GB"/>
        </w:rPr>
        <w:t xml:space="preserve"> not</w:t>
      </w:r>
      <w:r>
        <w:rPr>
          <w:lang w:val="en-GB"/>
        </w:rPr>
        <w:t xml:space="preserve"> time-critical.</w:t>
      </w:r>
    </w:p>
    <w:p w14:paraId="6630356E" w14:textId="06476728" w:rsidR="008653F9" w:rsidRDefault="00D61883" w:rsidP="008653F9">
      <w:pPr>
        <w:rPr>
          <w:lang w:val="en-GB"/>
        </w:rPr>
      </w:pPr>
      <w:r w:rsidRPr="00C73B5B">
        <w:rPr>
          <w:lang w:val="en-GB"/>
        </w:rPr>
        <w:t>EV cost-competitive</w:t>
      </w:r>
      <w:r w:rsidR="7FDCDD9D" w:rsidRPr="00C73B5B">
        <w:rPr>
          <w:lang w:val="en-GB"/>
        </w:rPr>
        <w:t>ness</w:t>
      </w:r>
      <w:r w:rsidRPr="00C73B5B">
        <w:rPr>
          <w:lang w:val="en-GB"/>
        </w:rPr>
        <w:t xml:space="preserve"> should be defined. </w:t>
      </w:r>
      <w:r w:rsidR="00B32C08" w:rsidRPr="00C73B5B">
        <w:rPr>
          <w:lang w:val="en-GB"/>
        </w:rPr>
        <w:t>The</w:t>
      </w:r>
      <w:r w:rsidR="008C7A87" w:rsidRPr="00C73B5B">
        <w:rPr>
          <w:lang w:val="en-GB"/>
        </w:rPr>
        <w:t xml:space="preserve"> up-front cost is expected to reach parity by 2030, while life-cycle costs are already less for EVs</w:t>
      </w:r>
      <w:r w:rsidR="002E6249">
        <w:rPr>
          <w:lang w:val="en-GB"/>
        </w:rPr>
        <w:t xml:space="preserve"> (refer to our submission section </w:t>
      </w:r>
      <w:r w:rsidR="002E6249">
        <w:rPr>
          <w:highlight w:val="yellow"/>
          <w:lang w:val="en-GB"/>
        </w:rPr>
        <w:fldChar w:fldCharType="begin"/>
      </w:r>
      <w:r w:rsidR="002E6249">
        <w:rPr>
          <w:lang w:val="en-GB"/>
        </w:rPr>
        <w:instrText xml:space="preserve"> REF _Ref67392062 \r \h </w:instrText>
      </w:r>
      <w:r w:rsidR="002E6249">
        <w:rPr>
          <w:highlight w:val="yellow"/>
          <w:lang w:val="en-GB"/>
        </w:rPr>
      </w:r>
      <w:r w:rsidR="002E6249">
        <w:rPr>
          <w:highlight w:val="yellow"/>
          <w:lang w:val="en-GB"/>
        </w:rPr>
        <w:fldChar w:fldCharType="separate"/>
      </w:r>
      <w:r w:rsidR="00B6716B">
        <w:rPr>
          <w:lang w:val="en-GB"/>
        </w:rPr>
        <w:t>5.2.4</w:t>
      </w:r>
      <w:r w:rsidR="002E6249">
        <w:rPr>
          <w:highlight w:val="yellow"/>
          <w:lang w:val="en-GB"/>
        </w:rPr>
        <w:fldChar w:fldCharType="end"/>
      </w:r>
      <w:r w:rsidR="002E6249">
        <w:rPr>
          <w:lang w:val="en-GB"/>
        </w:rPr>
        <w:t>).</w:t>
      </w:r>
    </w:p>
    <w:p w14:paraId="224534E6" w14:textId="3D23FF89" w:rsidR="002E6249" w:rsidRPr="008653F9" w:rsidRDefault="002E6249" w:rsidP="00C73B5B">
      <w:pPr>
        <w:pStyle w:val="TG-RECOMMENDATION"/>
        <w:rPr>
          <w:lang w:val="en-GB"/>
        </w:rPr>
      </w:pPr>
      <w:r>
        <w:rPr>
          <w:lang w:val="en-GB"/>
        </w:rPr>
        <w:t xml:space="preserve">Define </w:t>
      </w:r>
      <w:r w:rsidR="00C73B5B">
        <w:rPr>
          <w:lang w:val="en-GB"/>
        </w:rPr>
        <w:t>cost-competitiveness (purchase price or yearly running cost?) for EVs</w:t>
      </w:r>
    </w:p>
    <w:p w14:paraId="01116766" w14:textId="77777777" w:rsidR="00AB5D1A" w:rsidRDefault="00AB5D1A" w:rsidP="008E0E1F">
      <w:pPr>
        <w:rPr>
          <w:lang w:val="en-GB"/>
        </w:rPr>
      </w:pPr>
    </w:p>
    <w:tbl>
      <w:tblPr>
        <w:tblStyle w:val="GridTable4-Accent2"/>
        <w:tblW w:w="0" w:type="auto"/>
        <w:tblCellMar>
          <w:top w:w="57" w:type="dxa"/>
          <w:bottom w:w="57" w:type="dxa"/>
        </w:tblCellMar>
        <w:tblLook w:val="04A0" w:firstRow="1" w:lastRow="0" w:firstColumn="1" w:lastColumn="0" w:noHBand="0" w:noVBand="1"/>
      </w:tblPr>
      <w:tblGrid>
        <w:gridCol w:w="9016"/>
      </w:tblGrid>
      <w:tr w:rsidR="00AB5D1A" w:rsidRPr="002520DA" w14:paraId="152E9B46" w14:textId="77777777" w:rsidTr="00426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9A6F5BF" w14:textId="77777777" w:rsidR="00AB5D1A" w:rsidRPr="002520DA" w:rsidRDefault="00AB5D1A" w:rsidP="00426E37">
            <w:pPr>
              <w:spacing w:after="120"/>
              <w:jc w:val="center"/>
            </w:pPr>
            <w:r w:rsidRPr="002520DA">
              <w:rPr>
                <w:sz w:val="28"/>
                <w:szCs w:val="28"/>
              </w:rPr>
              <w:t>Progress indicators</w:t>
            </w:r>
          </w:p>
        </w:tc>
      </w:tr>
      <w:tr w:rsidR="00AB5D1A" w:rsidRPr="002520DA" w14:paraId="5DC66FC6" w14:textId="77777777" w:rsidTr="00426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077BB6" w14:textId="77777777" w:rsidR="00AB5D1A" w:rsidRPr="002520DA" w:rsidRDefault="00AB5D1A" w:rsidP="007A686F">
            <w:pPr>
              <w:numPr>
                <w:ilvl w:val="0"/>
                <w:numId w:val="9"/>
              </w:numPr>
              <w:spacing w:before="240" w:after="60"/>
            </w:pPr>
            <w:r w:rsidRPr="002520DA">
              <w:t>Government to have consulted, no later than 30 June 2022, on preferred policy options for accelerating EV uptake (including a date for placing a time limit on the import of ICEs).</w:t>
            </w:r>
          </w:p>
          <w:p w14:paraId="1221C033" w14:textId="77777777" w:rsidR="00AB5D1A" w:rsidRPr="002520DA" w:rsidRDefault="00AB5D1A" w:rsidP="007A686F">
            <w:pPr>
              <w:numPr>
                <w:ilvl w:val="0"/>
                <w:numId w:val="9"/>
              </w:numPr>
              <w:spacing w:before="240" w:after="60"/>
            </w:pPr>
            <w:r w:rsidRPr="002520DA">
              <w:t xml:space="preserve">Cabinet decisions on preferred policy options to be made, as soon as possible but no later than </w:t>
            </w:r>
            <w:r>
              <w:t>31 December</w:t>
            </w:r>
            <w:r w:rsidRPr="002520DA">
              <w:t xml:space="preserve"> 2022, on accelerating EV uptake.</w:t>
            </w:r>
          </w:p>
          <w:p w14:paraId="33D71827" w14:textId="77777777" w:rsidR="00AB5D1A" w:rsidRPr="002520DA" w:rsidRDefault="00AB5D1A" w:rsidP="007A686F">
            <w:pPr>
              <w:numPr>
                <w:ilvl w:val="0"/>
                <w:numId w:val="9"/>
              </w:numPr>
              <w:spacing w:before="240" w:after="60"/>
            </w:pPr>
            <w:r w:rsidRPr="002520DA">
              <w:t>Government to have implemented regulations on improving the fuel efficiency by 30 June 2022.</w:t>
            </w:r>
          </w:p>
        </w:tc>
      </w:tr>
    </w:tbl>
    <w:p w14:paraId="28D92F50" w14:textId="25B5E27E" w:rsidR="00C8268B" w:rsidRDefault="00CB20A9" w:rsidP="008E0E1F">
      <w:pPr>
        <w:rPr>
          <w:lang w:val="en-GB"/>
        </w:rPr>
      </w:pPr>
      <w:r w:rsidRPr="00BE3752">
        <w:rPr>
          <w:lang w:val="en-GB"/>
        </w:rPr>
        <w:t>Supported by Transportation Grou</w:t>
      </w:r>
      <w:r w:rsidR="008653F9" w:rsidRPr="00BE3752">
        <w:rPr>
          <w:lang w:val="en-GB"/>
        </w:rPr>
        <w:t xml:space="preserve">p. </w:t>
      </w:r>
    </w:p>
    <w:p w14:paraId="28D69166" w14:textId="69CF5122" w:rsidR="003D0B38" w:rsidRDefault="003D0B38" w:rsidP="008E0E1F">
      <w:pPr>
        <w:rPr>
          <w:lang w:val="en-GB"/>
        </w:rPr>
      </w:pPr>
    </w:p>
    <w:tbl>
      <w:tblPr>
        <w:tblStyle w:val="GridTable4-Accent5"/>
        <w:tblW w:w="0" w:type="auto"/>
        <w:tblCellMar>
          <w:top w:w="57" w:type="dxa"/>
          <w:bottom w:w="57" w:type="dxa"/>
        </w:tblCellMar>
        <w:tblLook w:val="04A0" w:firstRow="1" w:lastRow="0" w:firstColumn="1" w:lastColumn="0" w:noHBand="0" w:noVBand="1"/>
      </w:tblPr>
      <w:tblGrid>
        <w:gridCol w:w="9016"/>
      </w:tblGrid>
      <w:tr w:rsidR="006C1581" w:rsidRPr="002520DA" w14:paraId="1A9244A3" w14:textId="77777777" w:rsidTr="00426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E621381" w14:textId="77777777" w:rsidR="006C1581" w:rsidRPr="002520DA" w:rsidRDefault="006C1581" w:rsidP="00426E37">
            <w:pPr>
              <w:spacing w:before="0"/>
              <w:jc w:val="center"/>
              <w:rPr>
                <w:sz w:val="28"/>
                <w:szCs w:val="28"/>
              </w:rPr>
            </w:pPr>
            <w:r w:rsidRPr="003F340F">
              <w:rPr>
                <w:sz w:val="28"/>
                <w:szCs w:val="28"/>
              </w:rPr>
              <w:t>Necessary</w:t>
            </w:r>
            <w:r w:rsidRPr="002520DA">
              <w:rPr>
                <w:sz w:val="28"/>
                <w:szCs w:val="28"/>
              </w:rPr>
              <w:t xml:space="preserve"> action </w:t>
            </w:r>
            <w:r>
              <w:rPr>
                <w:sz w:val="28"/>
                <w:szCs w:val="28"/>
              </w:rPr>
              <w:t>3</w:t>
            </w:r>
          </w:p>
          <w:p w14:paraId="63930777" w14:textId="77777777" w:rsidR="006C1581" w:rsidRPr="00B052DC" w:rsidRDefault="006C1581" w:rsidP="00426E37">
            <w:pPr>
              <w:spacing w:before="0"/>
              <w:jc w:val="center"/>
              <w:rPr>
                <w:b w:val="0"/>
                <w:bCs w:val="0"/>
                <w:sz w:val="28"/>
                <w:szCs w:val="28"/>
                <w:u w:val="single"/>
              </w:rPr>
            </w:pPr>
            <w:r w:rsidRPr="00B052DC">
              <w:rPr>
                <w:b w:val="0"/>
                <w:bCs w:val="0"/>
                <w:sz w:val="28"/>
                <w:szCs w:val="28"/>
              </w:rPr>
              <w:t>Accelerate light electric vehicle uptake</w:t>
            </w:r>
          </w:p>
        </w:tc>
      </w:tr>
      <w:tr w:rsidR="006C1581" w:rsidRPr="002520DA" w14:paraId="3E7E7EF5" w14:textId="77777777" w:rsidTr="00426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85FE3F9" w14:textId="77777777" w:rsidR="006C1581" w:rsidRPr="002520DA" w:rsidRDefault="006C1581" w:rsidP="00426E37">
            <w:r w:rsidRPr="002520DA">
              <w:t>We recommend that, in the first budget period the Government make progress on the following:</w:t>
            </w:r>
          </w:p>
          <w:p w14:paraId="11B9C198" w14:textId="77777777" w:rsidR="006C1581" w:rsidRPr="002520DA" w:rsidRDefault="006C1581" w:rsidP="007A686F">
            <w:pPr>
              <w:numPr>
                <w:ilvl w:val="0"/>
                <w:numId w:val="7"/>
              </w:numPr>
              <w:spacing w:before="240" w:after="60"/>
            </w:pPr>
            <w:r w:rsidRPr="002520DA">
              <w:t xml:space="preserve">As part of a policy package introduce a fiscal incentive, such as a feebate or subsidy, to reduce the upfront cost of </w:t>
            </w:r>
            <w:r>
              <w:t>EVs</w:t>
            </w:r>
            <w:r w:rsidRPr="002520DA">
              <w:t xml:space="preserve"> until such time as there is price parity with ICEs. </w:t>
            </w:r>
          </w:p>
          <w:p w14:paraId="1E449AB2" w14:textId="77777777" w:rsidR="006C1581" w:rsidRPr="002520DA" w:rsidRDefault="006C1581" w:rsidP="007A686F">
            <w:pPr>
              <w:numPr>
                <w:ilvl w:val="0"/>
                <w:numId w:val="7"/>
              </w:numPr>
              <w:spacing w:before="240" w:after="60"/>
            </w:pPr>
            <w:r w:rsidRPr="002520DA">
              <w:t>As part of an equitable transition, evaluate and support interventions such as leasing, hire and sharing schemes to remove barriers and address some of the upfront capital costs of E</w:t>
            </w:r>
            <w:r>
              <w:t>Vs</w:t>
            </w:r>
            <w:r w:rsidRPr="002520DA">
              <w:t>.</w:t>
            </w:r>
          </w:p>
          <w:p w14:paraId="48EF542A" w14:textId="77777777" w:rsidR="006C1581" w:rsidRPr="002520DA" w:rsidRDefault="006C1581" w:rsidP="007A686F">
            <w:pPr>
              <w:numPr>
                <w:ilvl w:val="0"/>
                <w:numId w:val="7"/>
              </w:numPr>
              <w:spacing w:before="240" w:after="60"/>
            </w:pPr>
            <w:r>
              <w:t>Investigate</w:t>
            </w:r>
            <w:r w:rsidRPr="002520DA">
              <w:t xml:space="preserve"> ways to bulk procure and ensure the supply of E</w:t>
            </w:r>
            <w:r>
              <w:t>V</w:t>
            </w:r>
            <w:r w:rsidRPr="002520DA">
              <w:t>s into Aotearoa and work with the private sector to do so.</w:t>
            </w:r>
          </w:p>
          <w:p w14:paraId="207C9D43" w14:textId="77777777" w:rsidR="006C1581" w:rsidRPr="002520DA" w:rsidRDefault="006C1581" w:rsidP="007A686F">
            <w:pPr>
              <w:numPr>
                <w:ilvl w:val="0"/>
                <w:numId w:val="7"/>
              </w:numPr>
              <w:spacing w:before="240" w:after="60"/>
            </w:pPr>
            <w:r w:rsidRPr="002520DA">
              <w:t>Evaluate how to use the tax system to incentivise EV uptake and discourage the purchase and continued operation of ICE vehicles.</w:t>
            </w:r>
          </w:p>
          <w:p w14:paraId="67A9CA2F" w14:textId="77777777" w:rsidR="006C1581" w:rsidRPr="002520DA" w:rsidRDefault="006C1581" w:rsidP="007A686F">
            <w:pPr>
              <w:numPr>
                <w:ilvl w:val="0"/>
                <w:numId w:val="7"/>
              </w:numPr>
              <w:spacing w:before="240" w:after="60"/>
            </w:pPr>
            <w:r w:rsidRPr="002520DA">
              <w:t>Work with the private sector to roll out EV battery refurbishment, collection and recycling systems to support sustainable electrification of light vehicle fleet. </w:t>
            </w:r>
          </w:p>
          <w:p w14:paraId="77BE6BC6" w14:textId="77777777" w:rsidR="006C1581" w:rsidRPr="002520DA" w:rsidRDefault="006C1581" w:rsidP="007A686F">
            <w:pPr>
              <w:numPr>
                <w:ilvl w:val="0"/>
                <w:numId w:val="7"/>
              </w:numPr>
              <w:spacing w:before="240" w:after="60"/>
            </w:pPr>
            <w:r w:rsidRPr="002520DA">
              <w:lastRenderedPageBreak/>
              <w:t xml:space="preserve">Evaluate the role of other pricing mechanisms beyond the </w:t>
            </w:r>
            <w:r>
              <w:t xml:space="preserve">NZ </w:t>
            </w:r>
            <w:r w:rsidRPr="002520DA">
              <w:t>ETS, such as road pricing, can play in supporting the change to a low emissions and equitable transport system</w:t>
            </w:r>
            <w:r>
              <w:t>.</w:t>
            </w:r>
          </w:p>
          <w:p w14:paraId="5F39910D" w14:textId="77777777" w:rsidR="006C1581" w:rsidRPr="002520DA" w:rsidRDefault="006C1581" w:rsidP="007A686F">
            <w:pPr>
              <w:numPr>
                <w:ilvl w:val="0"/>
                <w:numId w:val="7"/>
              </w:numPr>
              <w:spacing w:before="240" w:after="60"/>
            </w:pPr>
            <w:r w:rsidRPr="002520DA">
              <w:t>In setting these policies the Government needs to mitigate impacts for low-income households and people with disabilities, regional and remote access, and with limited access to electricity.</w:t>
            </w:r>
          </w:p>
        </w:tc>
      </w:tr>
    </w:tbl>
    <w:p w14:paraId="6F68DC9C" w14:textId="1992FC5E" w:rsidR="008D6A54" w:rsidRDefault="005250D6" w:rsidP="008D6A54">
      <w:pPr>
        <w:rPr>
          <w:lang w:val="en-GB"/>
        </w:rPr>
      </w:pPr>
      <w:r w:rsidRPr="711D53C3">
        <w:rPr>
          <w:lang w:val="en-GB"/>
        </w:rPr>
        <w:lastRenderedPageBreak/>
        <w:t>It is important to address the aspects of inclusion in this statement. Aotearoa New Zealand can only make these targets if they are developed for the whole population</w:t>
      </w:r>
      <w:r w:rsidR="00970DF1">
        <w:t xml:space="preserve"> </w:t>
      </w:r>
      <w:r w:rsidRPr="711D53C3">
        <w:rPr>
          <w:lang w:val="en-GB"/>
        </w:rPr>
        <w:fldChar w:fldCharType="begin"/>
      </w:r>
      <w:r w:rsidRPr="711D53C3">
        <w:rPr>
          <w:lang w:val="en-GB"/>
        </w:rPr>
        <w:instrText xml:space="preserve"> ADDIN EN.CITE &lt;EndNote&gt;&lt;Cite&gt;&lt;Author&gt;Ministry for the Environment&lt;/Author&gt;&lt;Year&gt;2018&lt;/Year&gt;&lt;RecNum&gt;3621&lt;/RecNum&gt;&lt;DisplayText&gt;(Ministry for the Environment 2018)&lt;/DisplayText&gt;&lt;record&gt;&lt;rec-number&gt;3621&lt;/rec-number&gt;&lt;foreign-keys&gt;&lt;key app="EN" db-id="sd2rx2xfxx9s25ed9ac5f9dbdtewee220ewx" timestamp="1611872149" guid="bec5e9f5-3231-4dd9-9bed-c866955326fc"&gt;3621&lt;/key&gt;&lt;/foreign-keys&gt;&lt;ref-type name="Report"&gt;27&lt;/ref-type&gt;&lt;contributors&gt;&lt;authors&gt;&lt;author&gt;Ministry for the Environment,&lt;/author&gt;&lt;/authors&gt;&lt;tertiary-authors&gt;&lt;author&gt;Ministry for the Environment,&lt;/author&gt;&lt;/tertiary-authors&gt;&lt;/contributors&gt;&lt;titles&gt;&lt;title&gt;Reducing barriers to Electric Vehicle uptake: Behavioural insights analysis and review&lt;/title&gt;&lt;/titles&gt;&lt;dates&gt;&lt;year&gt;2018&lt;/year&gt;&lt;/dates&gt;&lt;pub-location&gt;Wellington&lt;/pub-location&gt;&lt;urls&gt;&lt;related-urls&gt;&lt;url&gt;https://www.iccc.mfe.govt.nz/assets/PDF_Library/ad42c96b5f/MfE-Reducing-Barriers-to-Electric-Vehicle-Uptake.pdf&lt;/url&gt;&lt;/related-urls&gt;&lt;/urls&gt;&lt;/record&gt;&lt;/Cite&gt;&lt;/EndNote&gt;</w:instrText>
      </w:r>
      <w:r w:rsidRPr="711D53C3">
        <w:rPr>
          <w:lang w:val="en-GB"/>
        </w:rPr>
        <w:fldChar w:fldCharType="separate"/>
      </w:r>
      <w:r w:rsidR="00970DF1" w:rsidRPr="711D53C3">
        <w:rPr>
          <w:noProof/>
          <w:lang w:val="en-GB"/>
        </w:rPr>
        <w:t>(Ministry for the Environment 2018)</w:t>
      </w:r>
      <w:r w:rsidRPr="711D53C3">
        <w:rPr>
          <w:lang w:val="en-GB"/>
        </w:rPr>
        <w:fldChar w:fldCharType="end"/>
      </w:r>
      <w:r w:rsidRPr="711D53C3">
        <w:rPr>
          <w:lang w:val="en-GB"/>
        </w:rPr>
        <w:t xml:space="preserve">. Therefore, it is important that the measure to increase adoption of electric </w:t>
      </w:r>
      <w:r w:rsidR="009229EC" w:rsidRPr="711D53C3">
        <w:rPr>
          <w:lang w:val="en-GB"/>
        </w:rPr>
        <w:t>vehicles and electric micro</w:t>
      </w:r>
      <w:r w:rsidR="2998FDEC" w:rsidRPr="711D53C3">
        <w:rPr>
          <w:lang w:val="en-GB"/>
        </w:rPr>
        <w:t>-</w:t>
      </w:r>
      <w:r w:rsidRPr="711D53C3">
        <w:rPr>
          <w:lang w:val="en-GB"/>
        </w:rPr>
        <w:t xml:space="preserve">mobility are accessible for all. It is known that </w:t>
      </w:r>
      <w:r w:rsidR="008D062A" w:rsidRPr="711D53C3">
        <w:rPr>
          <w:lang w:val="en-GB"/>
        </w:rPr>
        <w:t xml:space="preserve">are other barriers </w:t>
      </w:r>
      <w:r w:rsidR="004D791D" w:rsidRPr="711D53C3">
        <w:rPr>
          <w:lang w:val="en-GB"/>
        </w:rPr>
        <w:t xml:space="preserve">to EV leasing and sharing </w:t>
      </w:r>
      <w:r w:rsidR="008D062A" w:rsidRPr="711D53C3">
        <w:rPr>
          <w:lang w:val="en-GB"/>
        </w:rPr>
        <w:t xml:space="preserve">than </w:t>
      </w:r>
      <w:r w:rsidRPr="711D53C3">
        <w:rPr>
          <w:lang w:val="en-GB"/>
        </w:rPr>
        <w:t>cost</w:t>
      </w:r>
      <w:r w:rsidR="00BA706C" w:rsidRPr="711D53C3">
        <w:rPr>
          <w:lang w:val="en-GB"/>
        </w:rPr>
        <w:t xml:space="preserve"> and range</w:t>
      </w:r>
      <w:r w:rsidR="008D062A" w:rsidRPr="711D53C3">
        <w:rPr>
          <w:lang w:val="en-GB"/>
        </w:rPr>
        <w:t>, such as lower d</w:t>
      </w:r>
      <w:r w:rsidR="008D6A54" w:rsidRPr="711D53C3">
        <w:rPr>
          <w:lang w:val="en-GB"/>
        </w:rPr>
        <w:t>igital literacy</w:t>
      </w:r>
      <w:r w:rsidR="008D062A" w:rsidRPr="711D53C3">
        <w:rPr>
          <w:lang w:val="en-GB"/>
        </w:rPr>
        <w:t xml:space="preserve"> or </w:t>
      </w:r>
      <w:r w:rsidR="008D6A54" w:rsidRPr="711D53C3">
        <w:rPr>
          <w:lang w:val="en-GB"/>
        </w:rPr>
        <w:t>credit card ownership</w:t>
      </w:r>
      <w:r w:rsidR="00D12EE5">
        <w:t xml:space="preserve"> </w:t>
      </w:r>
      <w:r w:rsidRPr="711D53C3">
        <w:rPr>
          <w:lang w:val="en-GB"/>
        </w:rPr>
        <w:fldChar w:fldCharType="begin"/>
      </w:r>
      <w:r w:rsidRPr="711D53C3">
        <w:rPr>
          <w:lang w:val="en-GB"/>
        </w:rPr>
        <w:instrText xml:space="preserve"> ADDIN EN.CITE &lt;EndNote&gt;&lt;Cite&gt;&lt;Author&gt;McLaren&lt;/Author&gt;&lt;Year&gt;2015&lt;/Year&gt;&lt;RecNum&gt;3652&lt;/RecNum&gt;&lt;DisplayText&gt;(McLaren and Agyeman 2015)&lt;/DisplayText&gt;&lt;record&gt;&lt;rec-number&gt;3652&lt;/rec-number&gt;&lt;foreign-keys&gt;&lt;key app="EN" db-id="sd2rx2xfxx9s25ed9ac5f9dbdtewee220ewx" timestamp="1616386101" guid="7ad6a3d3-7365-448e-b1df-07980aab2b23"&gt;3652&lt;/key&gt;&lt;/foreign-keys&gt;&lt;ref-type name="Book"&gt;6&lt;/ref-type&gt;&lt;contributors&gt;&lt;authors&gt;&lt;author&gt;McLaren, D&lt;/author&gt;&lt;author&gt;Agyeman, J&lt;/author&gt;&lt;/authors&gt;&lt;/contributors&gt;&lt;titles&gt;&lt;title&gt;Sharing cities: A case for truly smart and sustainable cities&lt;/title&gt;&lt;/titles&gt;&lt;dates&gt;&lt;year&gt;2015&lt;/year&gt;&lt;/dates&gt;&lt;publisher&gt;MIT Press&lt;/publisher&gt;&lt;urls&gt;&lt;/urls&gt;&lt;/record&gt;&lt;/Cite&gt;&lt;/EndNote&gt;</w:instrText>
      </w:r>
      <w:r w:rsidRPr="711D53C3">
        <w:rPr>
          <w:lang w:val="en-GB"/>
        </w:rPr>
        <w:fldChar w:fldCharType="separate"/>
      </w:r>
      <w:r w:rsidR="00EE30D4" w:rsidRPr="711D53C3">
        <w:rPr>
          <w:noProof/>
          <w:lang w:val="en-GB"/>
        </w:rPr>
        <w:t>(McLaren and Agyeman 2015)</w:t>
      </w:r>
      <w:r w:rsidRPr="711D53C3">
        <w:rPr>
          <w:lang w:val="en-GB"/>
        </w:rPr>
        <w:fldChar w:fldCharType="end"/>
      </w:r>
      <w:r w:rsidR="008D062A" w:rsidRPr="711D53C3">
        <w:rPr>
          <w:lang w:val="en-GB"/>
        </w:rPr>
        <w:t>.</w:t>
      </w:r>
    </w:p>
    <w:p w14:paraId="33C3A25E" w14:textId="5B23F888" w:rsidR="6B5EA7C2" w:rsidRDefault="6B5EA7C2" w:rsidP="1AA173EA">
      <w:pPr>
        <w:rPr>
          <w:lang w:val="en-GB"/>
        </w:rPr>
      </w:pPr>
      <w:r w:rsidRPr="1AA173EA">
        <w:rPr>
          <w:lang w:val="en-GB"/>
        </w:rPr>
        <w:t xml:space="preserve">Further, there are ways to promote cleaner, more equitable transport choices beyond subsidies and incentives for people to purchase electric cars. Supporting </w:t>
      </w:r>
      <w:r w:rsidR="438CD53A" w:rsidRPr="1AA173EA">
        <w:rPr>
          <w:lang w:val="en-GB"/>
        </w:rPr>
        <w:t>volunteer and not-for-profit community groups with tran</w:t>
      </w:r>
      <w:r w:rsidRPr="1AA173EA">
        <w:rPr>
          <w:lang w:val="en-GB"/>
        </w:rPr>
        <w:t>sport</w:t>
      </w:r>
      <w:r w:rsidR="7991F02E" w:rsidRPr="1AA173EA">
        <w:rPr>
          <w:lang w:val="en-GB"/>
        </w:rPr>
        <w:t>,</w:t>
      </w:r>
      <w:r w:rsidR="593348DA" w:rsidRPr="1AA173EA">
        <w:rPr>
          <w:lang w:val="en-GB"/>
        </w:rPr>
        <w:t xml:space="preserve"> </w:t>
      </w:r>
      <w:r w:rsidRPr="1AA173EA">
        <w:rPr>
          <w:lang w:val="en-GB"/>
        </w:rPr>
        <w:t>for example by providing grants to community groups for electric vehicles, would support climate change and equity goals simultaneousl</w:t>
      </w:r>
      <w:r w:rsidR="457DBD96" w:rsidRPr="1AA173EA">
        <w:rPr>
          <w:lang w:val="en-GB"/>
        </w:rPr>
        <w:t>y</w:t>
      </w:r>
      <w:r w:rsidR="632679D5" w:rsidRPr="1AA173EA">
        <w:rPr>
          <w:lang w:val="en-GB"/>
        </w:rPr>
        <w:t>, by reducing peoples’ overall reliance on cars</w:t>
      </w:r>
      <w:r w:rsidR="003E61DC">
        <w:rPr>
          <w:lang w:val="en-GB"/>
        </w:rPr>
        <w:t xml:space="preserve"> </w:t>
      </w:r>
      <w:r w:rsidR="00306EFE">
        <w:rPr>
          <w:lang w:val="en-GB"/>
        </w:rPr>
        <w:fldChar w:fldCharType="begin"/>
      </w:r>
      <w:r w:rsidR="00306EFE">
        <w:rPr>
          <w:lang w:val="en-GB"/>
        </w:rPr>
        <w:instrText xml:space="preserve"> ADDIN EN.CITE &lt;EndNote&gt;&lt;Cite&gt;&lt;Author&gt;Burdett&lt;/Author&gt;&lt;Year&gt;2018&lt;/Year&gt;&lt;RecNum&gt;3656&lt;/RecNum&gt;&lt;DisplayText&gt;(Burdett 2018)&lt;/DisplayText&gt;&lt;record&gt;&lt;rec-number&gt;3656&lt;/rec-number&gt;&lt;foreign-keys&gt;&lt;key app="EN" db-id="sd2rx2xfxx9s25ed9ac5f9dbdtewee220ewx" timestamp="1616617479"&gt;3656&lt;/key&gt;&lt;/foreign-keys&gt;&lt;ref-type name="Journal Article"&gt;17&lt;/ref-type&gt;&lt;contributors&gt;&lt;authors&gt;&lt;author&gt;Burdett, B&lt;/author&gt;&lt;/authors&gt;&lt;/contributors&gt;&lt;titles&gt;&lt;title&gt;Transport, participation and wellbeing: Evidence and recommendations&lt;/title&gt;&lt;/titles&gt;&lt;dates&gt;&lt;year&gt;2018&lt;/year&gt;&lt;/dates&gt;&lt;urls&gt;&lt;related-urls&gt;&lt;url&gt;https://www.waikatoregion.govt.nz/services/publications/tr201818/&lt;/url&gt;&lt;/related-urls&gt;&lt;/urls&gt;&lt;/record&gt;&lt;/Cite&gt;&lt;/EndNote&gt;</w:instrText>
      </w:r>
      <w:r w:rsidR="00306EFE">
        <w:rPr>
          <w:lang w:val="en-GB"/>
        </w:rPr>
        <w:fldChar w:fldCharType="separate"/>
      </w:r>
      <w:r w:rsidR="00306EFE">
        <w:rPr>
          <w:noProof/>
          <w:lang w:val="en-GB"/>
        </w:rPr>
        <w:t>(Burdett 2018)</w:t>
      </w:r>
      <w:r w:rsidR="00306EFE">
        <w:rPr>
          <w:lang w:val="en-GB"/>
        </w:rPr>
        <w:fldChar w:fldCharType="end"/>
      </w:r>
      <w:r w:rsidR="457DBD96" w:rsidRPr="1AA173EA">
        <w:rPr>
          <w:lang w:val="en-GB"/>
        </w:rPr>
        <w:t>.</w:t>
      </w:r>
    </w:p>
    <w:p w14:paraId="6F7E47FD" w14:textId="1CD18BAA" w:rsidR="005250D6" w:rsidRPr="008740F6" w:rsidRDefault="7108C1E8" w:rsidP="008D6A54">
      <w:pPr>
        <w:pStyle w:val="TG-RECOMMENDATION"/>
        <w:rPr>
          <w:lang w:val="en-GB"/>
        </w:rPr>
      </w:pPr>
      <w:r w:rsidRPr="234D1892">
        <w:rPr>
          <w:lang w:val="en-GB"/>
        </w:rPr>
        <w:t xml:space="preserve">Include actions that address accessibility to the use of </w:t>
      </w:r>
      <w:r w:rsidR="547D73AD" w:rsidRPr="234D1892">
        <w:rPr>
          <w:lang w:val="en-GB"/>
        </w:rPr>
        <w:t>EVs</w:t>
      </w:r>
      <w:r w:rsidRPr="234D1892">
        <w:rPr>
          <w:lang w:val="en-GB"/>
        </w:rPr>
        <w:t xml:space="preserve"> and </w:t>
      </w:r>
      <w:r w:rsidR="547D73AD" w:rsidRPr="234D1892">
        <w:rPr>
          <w:lang w:val="en-GB"/>
        </w:rPr>
        <w:t>e</w:t>
      </w:r>
      <w:r w:rsidRPr="234D1892">
        <w:rPr>
          <w:lang w:val="en-GB"/>
        </w:rPr>
        <w:t>lectric micro</w:t>
      </w:r>
      <w:r w:rsidR="40D4AAD9" w:rsidRPr="234D1892">
        <w:rPr>
          <w:lang w:val="en-GB"/>
        </w:rPr>
        <w:t>-</w:t>
      </w:r>
      <w:r w:rsidRPr="234D1892">
        <w:rPr>
          <w:lang w:val="en-GB"/>
        </w:rPr>
        <w:t xml:space="preserve">mobility devices. </w:t>
      </w:r>
    </w:p>
    <w:p w14:paraId="6F5755AE" w14:textId="18573AD4" w:rsidR="015B1A45" w:rsidRDefault="015B1A45" w:rsidP="1AA173EA">
      <w:pPr>
        <w:pStyle w:val="TG-RECOMMENDATION"/>
        <w:rPr>
          <w:lang w:val="en-GB"/>
        </w:rPr>
      </w:pPr>
      <w:r w:rsidRPr="1AA173EA">
        <w:rPr>
          <w:lang w:val="en-GB"/>
        </w:rPr>
        <w:t>Include action to support community and non-government sector with grants for electric vehicles such as minivans, to reduce reliance on cars by low-income groups.</w:t>
      </w:r>
    </w:p>
    <w:p w14:paraId="2BA9D5D0" w14:textId="77777777" w:rsidR="00AB57E1" w:rsidRDefault="00AB57E1" w:rsidP="008E0E1F">
      <w:pPr>
        <w:rPr>
          <w:lang w:val="en-GB"/>
        </w:rPr>
      </w:pPr>
    </w:p>
    <w:p w14:paraId="51879FD0" w14:textId="3B54CA76" w:rsidR="00451DC2" w:rsidRDefault="00595460" w:rsidP="00451DC2">
      <w:pPr>
        <w:pStyle w:val="Heading1"/>
      </w:pPr>
      <w:bookmarkStart w:id="9" w:name="_Toc67752207"/>
      <w:r>
        <w:t xml:space="preserve">Evidence Report Chapter </w:t>
      </w:r>
      <w:r w:rsidR="00451DC2">
        <w:t>4b.1 Transport</w:t>
      </w:r>
      <w:bookmarkEnd w:id="9"/>
    </w:p>
    <w:p w14:paraId="5B0ABE6F" w14:textId="20B664FB" w:rsidR="00451DC2" w:rsidRDefault="00451DC2" w:rsidP="00451DC2">
      <w:r>
        <w:t xml:space="preserve">Given that transport emissions are the main driver for New Zealand’s growing contribution on greenhouse gas emission, our group feels a deep responsibility to respond to the situation. Our membership supports a faster reduction in transport emissions than what is envisaged in the consultation document, so that we can undo the damage caused by the </w:t>
      </w:r>
      <w:r w:rsidR="1004AAD3">
        <w:t xml:space="preserve">carbon–consumption of the </w:t>
      </w:r>
      <w:r>
        <w:t>sector. We will reflect on this for the various options where we see potential to drive down emissions faster.</w:t>
      </w:r>
    </w:p>
    <w:p w14:paraId="46389A4A" w14:textId="3C725642" w:rsidR="00451DC2" w:rsidRDefault="00451DC2" w:rsidP="00451DC2">
      <w:r>
        <w:t xml:space="preserve">Members agree with the report’s vehicle type categorisation, </w:t>
      </w:r>
      <w:proofErr w:type="gramStart"/>
      <w:r>
        <w:t>e.g.</w:t>
      </w:r>
      <w:proofErr w:type="gramEnd"/>
      <w:r>
        <w:t xml:space="preserve"> that conventional hybrids are to be classed as internal combustion engine (ICE) vehicles.</w:t>
      </w:r>
    </w:p>
    <w:p w14:paraId="296C69FB" w14:textId="7CED7D71" w:rsidR="001E4FA8" w:rsidRDefault="001259FD" w:rsidP="00451DC2">
      <w:r>
        <w:t xml:space="preserve">An overarching comment about the options for reducing emissions is that </w:t>
      </w:r>
      <w:r w:rsidR="001E4FA8">
        <w:t xml:space="preserve">the </w:t>
      </w:r>
      <w:r w:rsidR="00E84BE2">
        <w:t xml:space="preserve">interventions </w:t>
      </w:r>
      <w:r w:rsidR="000A55D3">
        <w:t>applied individually will not be as effective as when they are implemented together.</w:t>
      </w:r>
      <w:r w:rsidR="00A91A71">
        <w:t xml:space="preserve"> We note that </w:t>
      </w:r>
      <w:r w:rsidR="004A47A7">
        <w:t xml:space="preserve">MRCagney undertook modelling for </w:t>
      </w:r>
      <w:r w:rsidR="002E6700">
        <w:t>Auckland</w:t>
      </w:r>
      <w:r w:rsidR="00EC6C41">
        <w:t xml:space="preserve"> </w:t>
      </w:r>
      <w:r w:rsidR="00AC5D74">
        <w:t>[MRCagney (</w:t>
      </w:r>
      <w:r w:rsidR="00B7236D">
        <w:t>2020</w:t>
      </w:r>
      <w:r w:rsidR="00AC5D74">
        <w:t>)</w:t>
      </w:r>
      <w:r w:rsidR="00E82724">
        <w:t xml:space="preserve"> </w:t>
      </w:r>
      <w:r w:rsidR="00E82724">
        <w:rPr>
          <w:i/>
          <w:iCs/>
        </w:rPr>
        <w:t>Auckland’s Transport Emissions</w:t>
      </w:r>
      <w:r w:rsidR="00A0536F">
        <w:rPr>
          <w:i/>
          <w:iCs/>
        </w:rPr>
        <w:t>.</w:t>
      </w:r>
      <w:r w:rsidR="00E82724">
        <w:rPr>
          <w:i/>
          <w:iCs/>
        </w:rPr>
        <w:t xml:space="preserve"> </w:t>
      </w:r>
      <w:r w:rsidR="00A0536F">
        <w:t>Viewed on 24 February 2021</w:t>
      </w:r>
      <w:r w:rsidR="003C1014">
        <w:t xml:space="preserve"> </w:t>
      </w:r>
      <w:hyperlink r:id="rId14" w:history="1">
        <w:r w:rsidR="003C1014" w:rsidRPr="00180765">
          <w:rPr>
            <w:rStyle w:val="Hyperlink"/>
          </w:rPr>
          <w:t>https://transport2030.org/</w:t>
        </w:r>
      </w:hyperlink>
      <w:r w:rsidR="003C1014">
        <w:t xml:space="preserve">] and </w:t>
      </w:r>
      <w:r w:rsidR="003C1014">
        <w:rPr>
          <w:i/>
          <w:iCs/>
        </w:rPr>
        <w:t>The New Zealand Herald</w:t>
      </w:r>
      <w:r w:rsidR="001E6690">
        <w:rPr>
          <w:i/>
          <w:iCs/>
        </w:rPr>
        <w:t xml:space="preserve"> </w:t>
      </w:r>
      <w:r w:rsidR="001E6690">
        <w:t>reported on it</w:t>
      </w:r>
      <w:r w:rsidR="00BC1226">
        <w:t xml:space="preserve"> [Wilson, Simon (4 December 2020) </w:t>
      </w:r>
      <w:r w:rsidR="00337236" w:rsidRPr="00337236">
        <w:t>Simon Wilson: How to cut Auckland transport emissions by 70 per cent in just 10 years</w:t>
      </w:r>
      <w:r w:rsidR="00337236">
        <w:t xml:space="preserve">. </w:t>
      </w:r>
      <w:r w:rsidR="00337236" w:rsidRPr="00B43641">
        <w:rPr>
          <w:i/>
          <w:iCs/>
        </w:rPr>
        <w:t>The New Zealand Herald</w:t>
      </w:r>
      <w:r w:rsidR="00337236">
        <w:t xml:space="preserve">, </w:t>
      </w:r>
      <w:hyperlink r:id="rId15" w:history="1">
        <w:r w:rsidR="004328F4" w:rsidRPr="00180765">
          <w:rPr>
            <w:rStyle w:val="Hyperlink"/>
          </w:rPr>
          <w:t>https://www.nzherald.co</w:t>
        </w:r>
        <w:r w:rsidR="00F140B0">
          <w:rPr>
            <w:rStyle w:val="Hyperlink"/>
          </w:rPr>
          <w:t xml:space="preserve"> </w:t>
        </w:r>
        <w:r w:rsidR="004328F4" w:rsidRPr="00180765">
          <w:rPr>
            <w:rStyle w:val="Hyperlink"/>
          </w:rPr>
          <w:t>.nz/nz/simon-wilson-how-to-cut-auckland-transport-emissions-by-70-per-cent-in-just-10-years/7ZFVY6VSSDAEBWPPRZ6FH77Q4U/</w:t>
        </w:r>
      </w:hyperlink>
      <w:r w:rsidR="004328F4">
        <w:t>]</w:t>
      </w:r>
      <w:r w:rsidR="00024DB2">
        <w:t xml:space="preserve">. It is thus important that the interventions not be </w:t>
      </w:r>
      <w:r w:rsidR="00897321">
        <w:t>regarded</w:t>
      </w:r>
      <w:r w:rsidR="00024DB2">
        <w:t xml:space="preserve"> as individual actions, but as a set of </w:t>
      </w:r>
      <w:r w:rsidR="00161F75">
        <w:t xml:space="preserve">interventions applied </w:t>
      </w:r>
      <w:r w:rsidR="00D56008">
        <w:t xml:space="preserve">as a set of coordinated measures. </w:t>
      </w:r>
    </w:p>
    <w:p w14:paraId="0483ED4A" w14:textId="2E099B66" w:rsidR="00451DC2" w:rsidRDefault="00451DC2" w:rsidP="00451DC2">
      <w:pPr>
        <w:pStyle w:val="Heading2"/>
      </w:pPr>
      <w:bookmarkStart w:id="10" w:name="_Toc67752208"/>
      <w:r>
        <w:t>4b.1.1 Focus on Auckland</w:t>
      </w:r>
      <w:bookmarkEnd w:id="10"/>
    </w:p>
    <w:p w14:paraId="419B5C17" w14:textId="0A0AFFA7" w:rsidR="00DB0CCD" w:rsidRDefault="00E927E7" w:rsidP="00DB0CCD">
      <w:r>
        <w:t xml:space="preserve">CCC suggests that the solutions for Auckland apply to the rest of New Zealand, however </w:t>
      </w:r>
      <w:r w:rsidR="00162985">
        <w:t>it appears that there is more willingness for road building in the Auckland context</w:t>
      </w:r>
      <w:r w:rsidR="002F0E10">
        <w:t xml:space="preserve">. This will lock in future motoring </w:t>
      </w:r>
      <w:r w:rsidR="00A56AD0">
        <w:t xml:space="preserve">and emissions </w:t>
      </w:r>
      <w:r w:rsidR="002F0E10">
        <w:t>through induced demand</w:t>
      </w:r>
      <w:r w:rsidR="00C94F39">
        <w:t xml:space="preserve"> </w:t>
      </w:r>
      <w:r w:rsidR="00A56AD0">
        <w:fldChar w:fldCharType="begin"/>
      </w:r>
      <w:r w:rsidR="00F45EE4">
        <w:instrText xml:space="preserve"> ADDIN EN.CITE &lt;EndNote&gt;&lt;Cite&gt;&lt;Author&gt;Simic&lt;/Author&gt;&lt;Year&gt;2013&lt;/Year&gt;&lt;RecNum&gt;3654&lt;/RecNum&gt;&lt;DisplayText&gt;(Simic, Bartels et al. 2013)&lt;/DisplayText&gt;&lt;record&gt;&lt;rec-number&gt;3654&lt;/rec-number&gt;&lt;foreign-keys&gt;&lt;key app="EN" db-id="sd2rx2xfxx9s25ed9ac5f9dbdtewee220ewx" timestamp="1616453732" guid="73279f34-53c8-4ccf-8bd0-4200e8316033"&gt;3654&lt;/key&gt;&lt;/foreign-keys&gt;&lt;ref-type name="Report"&gt;27&lt;/ref-type&gt;&lt;contributors&gt;&lt;authors&gt;&lt;author&gt;Simic, A&lt;/author&gt;&lt;author&gt;Bartels, R&lt;/author&gt;&lt;author&gt;Frontier Economics,&lt;/author&gt;&lt;/authors&gt;&lt;tertiary-authors&gt;&lt;author&gt;NZ Transport Agency,&lt;/author&gt;&lt;/tertiary-authors&gt;&lt;/contributors&gt;&lt;titles&gt;&lt;title&gt;Research report 534 Drivers of demand for transport&lt;/title&gt;&lt;/titles&gt;&lt;dates&gt;&lt;year&gt;2013&lt;/year&gt;&lt;/dates&gt;&lt;urls&gt;&lt;related-urls&gt;&lt;url&gt;https://www.nzta.govt.nz/assets/resources/research/reports/534/docs/534.pdf&lt;/url&gt;&lt;/related-urls&gt;&lt;/urls&gt;&lt;/record&gt;&lt;/Cite&gt;&lt;/EndNote&gt;</w:instrText>
      </w:r>
      <w:r w:rsidR="00A56AD0">
        <w:fldChar w:fldCharType="separate"/>
      </w:r>
      <w:r w:rsidR="00A56AD0">
        <w:rPr>
          <w:noProof/>
        </w:rPr>
        <w:t>(Simic, Bartels et al. 2013)</w:t>
      </w:r>
      <w:r w:rsidR="00A56AD0">
        <w:fldChar w:fldCharType="end"/>
      </w:r>
      <w:r w:rsidR="00A56AD0">
        <w:t xml:space="preserve">. The term ‘induced demand’ </w:t>
      </w:r>
      <w:r w:rsidR="00F306D7">
        <w:t>is not included in the CCC advice or supporting material.</w:t>
      </w:r>
    </w:p>
    <w:p w14:paraId="1F74E808" w14:textId="236025DE" w:rsidR="00A15FFA" w:rsidRPr="00DB0CCD" w:rsidRDefault="00C94F39" w:rsidP="00C94F39">
      <w:pPr>
        <w:pStyle w:val="TG-RECOMMENDATION"/>
      </w:pPr>
      <w:r>
        <w:t>Include consideration of induced demand in the CCC advice, in particular with regard to Auckland</w:t>
      </w:r>
    </w:p>
    <w:p w14:paraId="419377B6" w14:textId="31E6266A" w:rsidR="00451DC2" w:rsidRDefault="00451DC2" w:rsidP="00451DC2">
      <w:pPr>
        <w:pStyle w:val="Heading2"/>
      </w:pPr>
      <w:bookmarkStart w:id="11" w:name="_Toc67752209"/>
      <w:r>
        <w:lastRenderedPageBreak/>
        <w:t>4b.1.2 Options for reducing emissions</w:t>
      </w:r>
      <w:bookmarkEnd w:id="11"/>
    </w:p>
    <w:p w14:paraId="482BB33E" w14:textId="77777777" w:rsidR="00451DC2" w:rsidRPr="00451DC2" w:rsidRDefault="00451DC2" w:rsidP="00451DC2">
      <w:pPr>
        <w:pStyle w:val="Heading3"/>
      </w:pPr>
      <w:r>
        <w:t>Reducing travel</w:t>
      </w:r>
    </w:p>
    <w:p w14:paraId="40DB3526" w14:textId="77777777" w:rsidR="00962F1A" w:rsidRDefault="00B92057" w:rsidP="00451DC2">
      <w:r>
        <w:t>We regard this option as the most effective</w:t>
      </w:r>
      <w:r w:rsidR="00651675">
        <w:t xml:space="preserve"> but suggest a different way of achieving it. </w:t>
      </w:r>
      <w:r w:rsidR="00672B9E">
        <w:t xml:space="preserve">We suggest that </w:t>
      </w:r>
      <w:r w:rsidR="00BB6DC9">
        <w:t xml:space="preserve">key to change is to adopt an explicit policy across all levels of government to </w:t>
      </w:r>
      <w:r w:rsidR="00042E1E" w:rsidRPr="1AA173EA">
        <w:rPr>
          <w:b/>
          <w:bCs/>
        </w:rPr>
        <w:t>reduce traffic</w:t>
      </w:r>
      <w:r w:rsidR="00042E1E">
        <w:t xml:space="preserve">, </w:t>
      </w:r>
      <w:proofErr w:type="gramStart"/>
      <w:r w:rsidR="00042E1E">
        <w:t>i.e.</w:t>
      </w:r>
      <w:proofErr w:type="gramEnd"/>
      <w:r w:rsidR="00042E1E">
        <w:t xml:space="preserve"> to tackle the problem </w:t>
      </w:r>
      <w:r w:rsidR="00F043B4">
        <w:t xml:space="preserve">of ever increasing emissions head-on by stating that we intend to reverse the trend. It is important to formulate this goal explicitly because </w:t>
      </w:r>
      <w:r w:rsidR="005A1601">
        <w:t>much of the activity of the transport sector is based around “keeping traffic moving”</w:t>
      </w:r>
      <w:r w:rsidR="00AC5E31">
        <w:t xml:space="preserve">. The moment we are explicit about the opposite, </w:t>
      </w:r>
      <w:r w:rsidR="00F9520B">
        <w:t>we expect th</w:t>
      </w:r>
      <w:r w:rsidR="0076306A">
        <w:t xml:space="preserve">at goals for alternative </w:t>
      </w:r>
      <w:r w:rsidR="003546F6">
        <w:t xml:space="preserve">transport initiatives will be much easier to </w:t>
      </w:r>
      <w:r w:rsidR="007368B1">
        <w:t>achieve (</w:t>
      </w:r>
      <w:proofErr w:type="gramStart"/>
      <w:r w:rsidR="007368B1">
        <w:t>e.g.</w:t>
      </w:r>
      <w:proofErr w:type="gramEnd"/>
      <w:r w:rsidR="00286D20">
        <w:t xml:space="preserve"> </w:t>
      </w:r>
      <w:r w:rsidR="0043493E">
        <w:t xml:space="preserve">prioritisation of </w:t>
      </w:r>
      <w:r w:rsidR="00FE6617">
        <w:t>other modes at traffic signals</w:t>
      </w:r>
      <w:r w:rsidR="00286D20">
        <w:t>)</w:t>
      </w:r>
      <w:r w:rsidR="00367952">
        <w:t xml:space="preserve"> and cheaper to implement (e.g. utilisation of existing road space for other transport modes).</w:t>
      </w:r>
      <w:r w:rsidR="0069331A">
        <w:t xml:space="preserve"> </w:t>
      </w:r>
    </w:p>
    <w:p w14:paraId="7E31F24F" w14:textId="69729DBC" w:rsidR="00451DC2" w:rsidRDefault="00A402E9" w:rsidP="00451DC2">
      <w:r>
        <w:t>An important aspect that sustains car travel is cheap (often free) parking</w:t>
      </w:r>
      <w:r w:rsidR="00F76AC5">
        <w:t xml:space="preserve"> and it n</w:t>
      </w:r>
      <w:r w:rsidR="00014085">
        <w:t xml:space="preserve">eeds to be recognised that local government will not be </w:t>
      </w:r>
      <w:r w:rsidR="00962F1A">
        <w:t>able</w:t>
      </w:r>
      <w:r w:rsidR="00014085">
        <w:t xml:space="preserve"> to bring about </w:t>
      </w:r>
      <w:r w:rsidR="00AA2616">
        <w:t xml:space="preserve">fundamental change to parking management, as </w:t>
      </w:r>
      <w:r w:rsidR="003A5C0A">
        <w:t xml:space="preserve">the status quo is seen as a </w:t>
      </w:r>
      <w:r w:rsidR="009A4274">
        <w:t xml:space="preserve">normal. </w:t>
      </w:r>
      <w:r w:rsidR="00AF0330">
        <w:t xml:space="preserve">If the intention is for people to make conscious decisions about their mode of travel, </w:t>
      </w:r>
      <w:r w:rsidR="00D649E0">
        <w:t xml:space="preserve">charging for parking on </w:t>
      </w:r>
      <w:r w:rsidR="00802FB2">
        <w:t xml:space="preserve">a public road will be an effective tool. Central government </w:t>
      </w:r>
      <w:r w:rsidR="009138BB">
        <w:t xml:space="preserve">should consider funding models whereby </w:t>
      </w:r>
      <w:r w:rsidR="00C2572B">
        <w:t xml:space="preserve">a Road Controlling Authority’s </w:t>
      </w:r>
      <w:r w:rsidR="007300C4">
        <w:t xml:space="preserve">Financial Assistance Rate is tied to the amount </w:t>
      </w:r>
      <w:r w:rsidR="00C2572B">
        <w:t xml:space="preserve">of parking revenue, thus incentivising RCAs to </w:t>
      </w:r>
      <w:r w:rsidR="00E12CA0">
        <w:t>introduce parking charges.</w:t>
      </w:r>
      <w:r w:rsidR="00B846C9">
        <w:t xml:space="preserve"> We predict that commuters would react most quickly </w:t>
      </w:r>
      <w:r w:rsidR="002712E2">
        <w:t xml:space="preserve">to such a measure and consider alternatives; we note that you state that this user group </w:t>
      </w:r>
      <w:r w:rsidR="00D03FD4">
        <w:t>is responsible for around 13% of current transport emissions.</w:t>
      </w:r>
    </w:p>
    <w:p w14:paraId="1A0880F3" w14:textId="0605A03B" w:rsidR="00B92057" w:rsidRDefault="00B20809" w:rsidP="00451DC2">
      <w:r>
        <w:t>The CCC</w:t>
      </w:r>
      <w:r w:rsidR="003958B2">
        <w:t xml:space="preserve"> draft </w:t>
      </w:r>
      <w:r w:rsidR="00293CF6">
        <w:t xml:space="preserve">mentions longer term travel reduction through land use changes and we will discuss this in </w:t>
      </w:r>
      <w:r w:rsidR="00AF7D31">
        <w:t xml:space="preserve">the </w:t>
      </w:r>
      <w:r w:rsidR="00293CF6">
        <w:t xml:space="preserve">section </w:t>
      </w:r>
      <w:r w:rsidR="00AF7D31">
        <w:t>on urban form.</w:t>
      </w:r>
    </w:p>
    <w:p w14:paraId="066AB2DB" w14:textId="77777777" w:rsidR="00451DC2" w:rsidRDefault="00451DC2" w:rsidP="00451DC2">
      <w:pPr>
        <w:pStyle w:val="Heading3"/>
      </w:pPr>
      <w:r>
        <w:t>Transport type shift to walking, cycling, public transport</w:t>
      </w:r>
    </w:p>
    <w:p w14:paraId="19507005" w14:textId="09D1EB9E" w:rsidR="009405BF" w:rsidRDefault="00561BF1" w:rsidP="670DB8DD">
      <w:r>
        <w:t>The CCC advice</w:t>
      </w:r>
      <w:r w:rsidR="00565D32">
        <w:t xml:space="preserve"> recognise</w:t>
      </w:r>
      <w:r>
        <w:t>s</w:t>
      </w:r>
      <w:r w:rsidR="00565D32">
        <w:t xml:space="preserve"> the</w:t>
      </w:r>
      <w:r w:rsidR="001B0331">
        <w:t xml:space="preserve"> potential impact</w:t>
      </w:r>
      <w:r w:rsidR="0017476D">
        <w:t xml:space="preserve"> of acti</w:t>
      </w:r>
      <w:r w:rsidR="001B0331">
        <w:t>ve travel and lower emission travel modes</w:t>
      </w:r>
      <w:r w:rsidR="00150245">
        <w:t xml:space="preserve">. We strongly agree </w:t>
      </w:r>
      <w:r w:rsidR="00074295">
        <w:t xml:space="preserve">with this argument however </w:t>
      </w:r>
      <w:r w:rsidR="004F1B61">
        <w:t>argue that the set targets are too low</w:t>
      </w:r>
      <w:r w:rsidR="00AB00AC">
        <w:t xml:space="preserve"> (Auckland</w:t>
      </w:r>
      <w:r w:rsidR="007E3E85">
        <w:t>: a mode</w:t>
      </w:r>
      <w:r w:rsidR="00132F36">
        <w:t xml:space="preserve"> </w:t>
      </w:r>
      <w:r w:rsidR="007E3E85">
        <w:t xml:space="preserve">share of </w:t>
      </w:r>
      <w:r w:rsidR="00AB00AC">
        <w:t xml:space="preserve">7% </w:t>
      </w:r>
      <w:r w:rsidR="007E3E85">
        <w:t xml:space="preserve">cycling </w:t>
      </w:r>
      <w:r w:rsidR="00AB00AC">
        <w:t>in 2030</w:t>
      </w:r>
      <w:r w:rsidR="001D5219">
        <w:t xml:space="preserve"> and 9% in 2050</w:t>
      </w:r>
      <w:r w:rsidR="00714A02">
        <w:t>;</w:t>
      </w:r>
      <w:r w:rsidR="001D5219">
        <w:t xml:space="preserve"> </w:t>
      </w:r>
      <w:r w:rsidR="007E3E85">
        <w:t xml:space="preserve">National level: </w:t>
      </w:r>
      <w:r w:rsidR="005541E2">
        <w:t xml:space="preserve">recommendation </w:t>
      </w:r>
      <w:r w:rsidR="00132A6C">
        <w:t xml:space="preserve">by health research </w:t>
      </w:r>
      <w:r w:rsidR="005541E2">
        <w:t>of 15%</w:t>
      </w:r>
      <w:r w:rsidR="0006282C">
        <w:t xml:space="preserve"> o</w:t>
      </w:r>
      <w:r w:rsidR="006C79A8">
        <w:t>f tri</w:t>
      </w:r>
      <w:r w:rsidR="00132F36">
        <w:t xml:space="preserve">ps </w:t>
      </w:r>
      <w:r w:rsidR="006C79A8">
        <w:t>by bike</w:t>
      </w:r>
      <w:r w:rsidR="005541E2">
        <w:t>)</w:t>
      </w:r>
      <w:r w:rsidR="00132F36">
        <w:t xml:space="preserve">. </w:t>
      </w:r>
      <w:r w:rsidR="0011079A">
        <w:t>Almost two thirds of the trips New Zealander</w:t>
      </w:r>
      <w:r w:rsidR="006F19C3">
        <w:t>s</w:t>
      </w:r>
      <w:r w:rsidR="0011079A">
        <w:t xml:space="preserve"> make are less than 2</w:t>
      </w:r>
      <w:r w:rsidR="006F19C3">
        <w:t xml:space="preserve"> </w:t>
      </w:r>
      <w:r w:rsidR="0011079A">
        <w:t>km long.</w:t>
      </w:r>
      <w:r w:rsidR="00D536DB">
        <w:t xml:space="preserve"> These trips alone </w:t>
      </w:r>
      <w:r w:rsidR="00534809">
        <w:t xml:space="preserve">can </w:t>
      </w:r>
      <w:r w:rsidR="00FD0511">
        <w:t xml:space="preserve">often be </w:t>
      </w:r>
      <w:r w:rsidR="00756FCA">
        <w:t xml:space="preserve">travelled </w:t>
      </w:r>
      <w:r w:rsidR="0021344D">
        <w:t>on foot or by bike</w:t>
      </w:r>
      <w:r w:rsidR="00756FCA">
        <w:t xml:space="preserve">. </w:t>
      </w:r>
      <w:r w:rsidR="00197FFA">
        <w:t>The bicycle</w:t>
      </w:r>
      <w:r w:rsidR="004954B7">
        <w:t xml:space="preserve"> can be used for </w:t>
      </w:r>
      <w:r w:rsidR="00397AC3">
        <w:t xml:space="preserve">wider range, providing a viable alternative </w:t>
      </w:r>
      <w:r w:rsidR="00185052">
        <w:t xml:space="preserve">for trips </w:t>
      </w:r>
      <w:r w:rsidR="00F8023C">
        <w:t xml:space="preserve">up to </w:t>
      </w:r>
      <w:r w:rsidR="008E1CB9">
        <w:t>10</w:t>
      </w:r>
      <w:r w:rsidR="00AA074B">
        <w:t>-15</w:t>
      </w:r>
      <w:r w:rsidR="006F19C3">
        <w:t xml:space="preserve"> </w:t>
      </w:r>
      <w:r w:rsidR="008E1CB9">
        <w:t>km</w:t>
      </w:r>
      <w:r w:rsidR="00070221">
        <w:t>. T</w:t>
      </w:r>
      <w:r w:rsidR="00F05E69">
        <w:t xml:space="preserve">he e-bike, for which </w:t>
      </w:r>
      <w:r w:rsidR="00755709">
        <w:t>ownership is increasing</w:t>
      </w:r>
      <w:r w:rsidR="1AF17B42" w:rsidRPr="00015A93">
        <w:t>,</w:t>
      </w:r>
      <w:r w:rsidR="00070221">
        <w:t xml:space="preserve"> </w:t>
      </w:r>
      <w:r w:rsidR="000E7563">
        <w:t xml:space="preserve">can be considered </w:t>
      </w:r>
      <w:r w:rsidR="000E7563" w:rsidRPr="00015A93">
        <w:t>an</w:t>
      </w:r>
      <w:r w:rsidR="000E7563">
        <w:t xml:space="preserve"> alternative </w:t>
      </w:r>
      <w:r w:rsidR="007D762A">
        <w:t>mode for trips up to 25</w:t>
      </w:r>
      <w:r w:rsidR="006F19C3">
        <w:t xml:space="preserve"> </w:t>
      </w:r>
      <w:r w:rsidR="007D762A">
        <w:t xml:space="preserve">km. </w:t>
      </w:r>
      <w:r w:rsidR="0021344D">
        <w:t xml:space="preserve">The combination of active travel and </w:t>
      </w:r>
      <w:r w:rsidR="006F19C3">
        <w:t>p</w:t>
      </w:r>
      <w:r w:rsidR="00450E3B">
        <w:t xml:space="preserve">ublic transport, given the right facilities </w:t>
      </w:r>
      <w:r w:rsidR="00BE6511">
        <w:t>are in place (</w:t>
      </w:r>
      <w:r w:rsidR="00201B89">
        <w:t>bike parking, sharing schemes</w:t>
      </w:r>
      <w:r w:rsidR="006F19C3">
        <w:t xml:space="preserve">, </w:t>
      </w:r>
      <w:r w:rsidR="00201B89">
        <w:t>bike</w:t>
      </w:r>
      <w:r w:rsidR="006F19C3">
        <w:t>s</w:t>
      </w:r>
      <w:r w:rsidR="00201B89">
        <w:t xml:space="preserve"> on the bus)</w:t>
      </w:r>
      <w:r w:rsidR="00EF16C0">
        <w:t xml:space="preserve">, can provide people </w:t>
      </w:r>
      <w:r w:rsidR="21C6DA50" w:rsidRPr="00015A93">
        <w:t>with</w:t>
      </w:r>
      <w:r w:rsidR="21C6DA50">
        <w:t xml:space="preserve"> </w:t>
      </w:r>
      <w:r w:rsidR="00EF16C0">
        <w:t xml:space="preserve">alternative travel options </w:t>
      </w:r>
      <w:r w:rsidR="249D47A6" w:rsidRPr="00015A93">
        <w:t>for</w:t>
      </w:r>
      <w:r w:rsidR="00EF16C0">
        <w:t xml:space="preserve"> </w:t>
      </w:r>
      <w:r w:rsidR="00C327BC">
        <w:t xml:space="preserve">distances that are comparable </w:t>
      </w:r>
      <w:r w:rsidR="006C3AA8">
        <w:t xml:space="preserve">to </w:t>
      </w:r>
      <w:r w:rsidR="00C327BC">
        <w:t xml:space="preserve">or even exceeding distances suitable for private vehicle trips. </w:t>
      </w:r>
    </w:p>
    <w:p w14:paraId="3FEC8053" w14:textId="7A649BC5" w:rsidR="001E2AEC" w:rsidRDefault="00B20809" w:rsidP="00B20809">
      <w:pPr>
        <w:pStyle w:val="TG-RECOMMENDATION"/>
      </w:pPr>
      <w:r>
        <w:t>N</w:t>
      </w:r>
      <w:r w:rsidR="008940B8">
        <w:t>ew, higher</w:t>
      </w:r>
      <w:r w:rsidR="001E2AEC">
        <w:t xml:space="preserve"> targets should be </w:t>
      </w:r>
      <w:r w:rsidR="00733571">
        <w:t>calculated based on th</w:t>
      </w:r>
      <w:r w:rsidR="008E222C">
        <w:t xml:space="preserve">e </w:t>
      </w:r>
      <w:r w:rsidR="008940B8">
        <w:t xml:space="preserve">continuously </w:t>
      </w:r>
      <w:r w:rsidR="008E222C">
        <w:t>increas</w:t>
      </w:r>
      <w:r w:rsidR="008940B8">
        <w:t xml:space="preserve">ing </w:t>
      </w:r>
      <w:r w:rsidR="008E222C">
        <w:t xml:space="preserve">amount of infrastructure and </w:t>
      </w:r>
      <w:r w:rsidR="008940B8">
        <w:t xml:space="preserve">services. </w:t>
      </w:r>
    </w:p>
    <w:p w14:paraId="4C1967B2" w14:textId="61AC15A8" w:rsidR="00451DC2" w:rsidRDefault="00451DC2" w:rsidP="00451DC2">
      <w:pPr>
        <w:pStyle w:val="Heading3"/>
      </w:pPr>
      <w:r>
        <w:t>Conventional vehicle improvements</w:t>
      </w:r>
    </w:p>
    <w:p w14:paraId="21C7B3DC" w14:textId="0032D085" w:rsidR="00C655CA" w:rsidRPr="00C655CA" w:rsidRDefault="00AB06F6" w:rsidP="00C655CA">
      <w:hyperlink r:id="rId16" w:history="1">
        <w:r w:rsidR="00C655CA" w:rsidRPr="00086920">
          <w:rPr>
            <w:rStyle w:val="Hyperlink"/>
          </w:rPr>
          <w:t>Current rules</w:t>
        </w:r>
      </w:hyperlink>
      <w:r w:rsidR="00C655CA">
        <w:t xml:space="preserve"> include the Vehicle Exhaust Emissions Rule 2007 prohibiting tampering </w:t>
      </w:r>
      <w:r w:rsidR="00086920">
        <w:t xml:space="preserve">with vehicle emissions control systems </w:t>
      </w:r>
      <w:r w:rsidR="00C655CA">
        <w:t>and the Road User Rule, which prohibits</w:t>
      </w:r>
      <w:r w:rsidR="00086920">
        <w:t xml:space="preserve"> a vehicle from emitting visible smoke. Neither is practically enforced. </w:t>
      </w:r>
      <w:r w:rsidR="007F2AF6">
        <w:t xml:space="preserve">The Transportation Group is aware that this has been discussed in New Zealand but discounted due to the cost of procuring testing equipment. </w:t>
      </w:r>
      <w:r w:rsidR="005B7123">
        <w:t>In our view this is not an acceptable excuse.</w:t>
      </w:r>
      <w:r w:rsidR="008A17B9">
        <w:t xml:space="preserve"> Numerous countries and jurisdictions have emissions testing, with one of the most comprehensive being the State of California.</w:t>
      </w:r>
    </w:p>
    <w:p w14:paraId="4FB5DDA4" w14:textId="77777777" w:rsidR="00897D5A" w:rsidRDefault="00897D5A" w:rsidP="00897D5A">
      <w:pPr>
        <w:pStyle w:val="TG-RECOMMENDATION"/>
      </w:pPr>
      <w:r>
        <w:t>The CCC advice should include:</w:t>
      </w:r>
    </w:p>
    <w:p w14:paraId="752BE2E4" w14:textId="07B7FF53" w:rsidR="007F2AF6" w:rsidRDefault="007F2AF6" w:rsidP="007A686F">
      <w:pPr>
        <w:pStyle w:val="TG-RECOMMENDATION"/>
        <w:numPr>
          <w:ilvl w:val="1"/>
          <w:numId w:val="10"/>
        </w:numPr>
      </w:pPr>
      <w:r>
        <w:t xml:space="preserve">Roadside Inspection Programme similar to </w:t>
      </w:r>
      <w:hyperlink r:id="rId17" w:history="1">
        <w:r w:rsidRPr="005B7123">
          <w:rPr>
            <w:rStyle w:val="Hyperlink"/>
          </w:rPr>
          <w:t>California</w:t>
        </w:r>
        <w:r w:rsidR="005B7123" w:rsidRPr="005B7123">
          <w:rPr>
            <w:rStyle w:val="Hyperlink"/>
          </w:rPr>
          <w:t>’s program</w:t>
        </w:r>
      </w:hyperlink>
      <w:r w:rsidR="008A17B9">
        <w:t xml:space="preserve"> to establish baseline and ongoing monitoring datasets</w:t>
      </w:r>
    </w:p>
    <w:p w14:paraId="101B0D63" w14:textId="4D683349" w:rsidR="00897D5A" w:rsidRPr="00897D5A" w:rsidRDefault="007F2AF6" w:rsidP="007A686F">
      <w:pPr>
        <w:pStyle w:val="TG-RECOMMENDATION"/>
        <w:numPr>
          <w:ilvl w:val="1"/>
          <w:numId w:val="10"/>
        </w:numPr>
      </w:pPr>
      <w:r>
        <w:t>E</w:t>
      </w:r>
      <w:r w:rsidR="000E5C1A">
        <w:t>missions testing as part of the WOF system</w:t>
      </w:r>
      <w:r w:rsidR="008A17B9">
        <w:t xml:space="preserve"> similar to California’s </w:t>
      </w:r>
      <w:hyperlink r:id="rId18" w:history="1">
        <w:r w:rsidR="008A17B9" w:rsidRPr="008A17B9">
          <w:rPr>
            <w:rStyle w:val="Hyperlink"/>
          </w:rPr>
          <w:t>Smog Check</w:t>
        </w:r>
      </w:hyperlink>
    </w:p>
    <w:p w14:paraId="01BA7DA4" w14:textId="77777777" w:rsidR="00451DC2" w:rsidRDefault="00451DC2" w:rsidP="00451DC2">
      <w:pPr>
        <w:pStyle w:val="Heading3"/>
      </w:pPr>
      <w:bookmarkStart w:id="12" w:name="_Ref67392062"/>
      <w:r>
        <w:t>Electrification of light vehicles – cars, SUVs, utes and vans</w:t>
      </w:r>
      <w:bookmarkEnd w:id="12"/>
    </w:p>
    <w:p w14:paraId="0414F8B6" w14:textId="77777777" w:rsidR="002C0E41" w:rsidRDefault="00451DC2" w:rsidP="00451DC2">
      <w:r>
        <w:t>The evidence states:</w:t>
      </w:r>
    </w:p>
    <w:p w14:paraId="1BE30A3A" w14:textId="15B2B6A1" w:rsidR="00451DC2" w:rsidRDefault="00451DC2" w:rsidP="002C0E41">
      <w:pPr>
        <w:pStyle w:val="Quote"/>
      </w:pPr>
      <w:r w:rsidRPr="002C0E41">
        <w:t>The main challenge currently is the upfront cost of purchasing an electric vehicle, which is more expensive than the internal combustion engine equivalents</w:t>
      </w:r>
      <w:r>
        <w:t>” (p.11)</w:t>
      </w:r>
    </w:p>
    <w:p w14:paraId="700C1CA6" w14:textId="7393B78D" w:rsidR="00451DC2" w:rsidRDefault="00451DC2" w:rsidP="00451DC2">
      <w:r>
        <w:lastRenderedPageBreak/>
        <w:t xml:space="preserve">The CCC does not appear to acknowledge the rapid move towards price parity for EVs. </w:t>
      </w:r>
      <w:r w:rsidRPr="00342C00">
        <w:t>UBS Investment Bank and General Motors (GM) predict EV/</w:t>
      </w:r>
      <w:r>
        <w:t>internal combustion (IC)</w:t>
      </w:r>
      <w:r w:rsidRPr="00342C00">
        <w:t xml:space="preserve"> parity will be achieved by 2024 and 2030 respectively; </w:t>
      </w:r>
      <w:r>
        <w:t xml:space="preserve">the world’s largest automaker, </w:t>
      </w:r>
      <w:r w:rsidRPr="00342C00">
        <w:t>GM</w:t>
      </w:r>
      <w:r>
        <w:t xml:space="preserve">, </w:t>
      </w:r>
      <w:r w:rsidRPr="00342C00">
        <w:t xml:space="preserve">will offer 30 EV models by 2025 and phase out IC vehicles production by 2035 </w:t>
      </w:r>
      <w:hyperlink r:id="rId19" w:history="1">
        <w:r w:rsidR="00F40CC8" w:rsidRPr="00544868">
          <w:rPr>
            <w:rStyle w:val="Hyperlink"/>
          </w:rPr>
          <w:t>https://www.gm.com/commitments/electrification.html</w:t>
        </w:r>
      </w:hyperlink>
    </w:p>
    <w:p w14:paraId="742DE94D" w14:textId="5BAA562A" w:rsidR="00F40CC8" w:rsidRPr="00342C00" w:rsidRDefault="00CB1FB8" w:rsidP="00451DC2">
      <w:r w:rsidRPr="0098213E">
        <w:t xml:space="preserve">Further issues include the environmental footprint of EVs compared to ICE vehicles and the </w:t>
      </w:r>
      <w:r w:rsidR="00792814" w:rsidRPr="0098213E">
        <w:t xml:space="preserve">fact that prioritising EV adoption may stand in direct opposition to other goals such as compact urban forms (an EV takes up the same space as </w:t>
      </w:r>
      <w:r w:rsidR="3CE501EF" w:rsidRPr="0098213E">
        <w:t>an</w:t>
      </w:r>
      <w:r w:rsidR="00792814" w:rsidRPr="0098213E">
        <w:t xml:space="preserve"> ICE vehicle)</w:t>
      </w:r>
      <w:r w:rsidR="00F40CC8" w:rsidRPr="0098213E">
        <w:rPr>
          <w:rStyle w:val="FootnoteReference"/>
        </w:rPr>
        <w:footnoteReference w:id="2"/>
      </w:r>
      <w:r w:rsidR="008E415C" w:rsidRPr="0098213E">
        <w:t>,</w:t>
      </w:r>
      <w:r w:rsidR="008E415C" w:rsidRPr="0098213E">
        <w:rPr>
          <w:rStyle w:val="FootnoteReference"/>
        </w:rPr>
        <w:footnoteReference w:id="3"/>
      </w:r>
    </w:p>
    <w:p w14:paraId="1BB3F462" w14:textId="3743B0C7" w:rsidR="00451DC2" w:rsidRPr="00E355B0" w:rsidRDefault="00451DC2" w:rsidP="002C0E41">
      <w:pPr>
        <w:pStyle w:val="Quote"/>
      </w:pPr>
      <w:r w:rsidRPr="00E355B0">
        <w:t>There are also challenges of relying on electrification. Prioritising electric vehicle uptake continues to encourage car dependency and contributes to demand for low density development.</w:t>
      </w:r>
      <w:r w:rsidR="002C0E41">
        <w:t xml:space="preserve"> </w:t>
      </w:r>
      <w:r>
        <w:t>(p.14)</w:t>
      </w:r>
    </w:p>
    <w:p w14:paraId="2DDE0806" w14:textId="19157405" w:rsidR="00451DC2" w:rsidRPr="004544C8" w:rsidRDefault="00451DC2" w:rsidP="00451DC2">
      <w:r>
        <w:t>TG strongly supports this point. A systems</w:t>
      </w:r>
      <w:r w:rsidR="05E91CFB">
        <w:t>-</w:t>
      </w:r>
      <w:r>
        <w:t>based solution is needed; if all the policy “eggs” are placed in the EV transition basket, then it is less feasible to achieve land use development patterns that support reduced trip distances, public transport services, walking and cycling.</w:t>
      </w:r>
    </w:p>
    <w:p w14:paraId="5F598271" w14:textId="54FABC70" w:rsidR="719AD9E1" w:rsidRDefault="719AD9E1" w:rsidP="670DB8DD">
      <w:pPr>
        <w:rPr>
          <w:rFonts w:ascii="Calibri" w:hAnsi="Calibri"/>
        </w:rPr>
      </w:pPr>
      <w:r w:rsidRPr="670DB8DD">
        <w:rPr>
          <w:rFonts w:ascii="Calibri" w:hAnsi="Calibri"/>
        </w:rPr>
        <w:t>Electrification and EV transition could be one of the solutions, but it is not economic for all vehicles and at least for present scenarios.</w:t>
      </w:r>
    </w:p>
    <w:p w14:paraId="66ED569A" w14:textId="1521C9DF" w:rsidR="670DB8DD" w:rsidRDefault="009E17C4" w:rsidP="009E17C4">
      <w:pPr>
        <w:pStyle w:val="TG-RECOMMENDATION"/>
      </w:pPr>
      <w:r>
        <w:t>The Evidence report acknowledges EVs aren't 'silver bullet' but this should be made clearer throughout the advice document</w:t>
      </w:r>
      <w:r>
        <w:rPr>
          <w:rStyle w:val="CommentReference"/>
        </w:rPr>
        <w:t/>
      </w:r>
    </w:p>
    <w:p w14:paraId="17F3E999" w14:textId="71868928" w:rsidR="00C07E6E" w:rsidRDefault="00C07E6E" w:rsidP="00C07E6E">
      <w:pPr>
        <w:rPr>
          <w:lang w:val="en-GB"/>
        </w:rPr>
      </w:pPr>
      <w:r w:rsidRPr="00857945">
        <w:t xml:space="preserve">Throughout the advice and supporting material, there is discussion of </w:t>
      </w:r>
      <w:r w:rsidRPr="00857945">
        <w:rPr>
          <w:lang w:val="en-GB"/>
        </w:rPr>
        <w:t xml:space="preserve">barriers to adoption of EVs, which is self-sustaining. Media and sector members </w:t>
      </w:r>
      <w:r w:rsidR="00857945" w:rsidRPr="00857945">
        <w:rPr>
          <w:lang w:val="en-GB"/>
        </w:rPr>
        <w:t xml:space="preserve">are part of the reason why the barriers are front of mind. </w:t>
      </w:r>
      <w:r w:rsidRPr="00857945">
        <w:rPr>
          <w:lang w:val="en-GB"/>
        </w:rPr>
        <w:t>The conversation should be about opportunities</w:t>
      </w:r>
      <w:r w:rsidR="008A175F" w:rsidRPr="008A175F">
        <w:t xml:space="preserve"> </w:t>
      </w:r>
      <w:r w:rsidR="008A175F">
        <w:rPr>
          <w:lang w:val="en-GB"/>
        </w:rPr>
        <w:fldChar w:fldCharType="begin"/>
      </w:r>
      <w:r w:rsidR="008A175F">
        <w:rPr>
          <w:lang w:val="en-GB"/>
        </w:rPr>
        <w:instrText xml:space="preserve"> ADDIN EN.CITE &lt;EndNote&gt;&lt;Cite&gt;&lt;Author&gt;Ministry for the Environment&lt;/Author&gt;&lt;Year&gt;2018&lt;/Year&gt;&lt;RecNum&gt;3621&lt;/RecNum&gt;&lt;DisplayText&gt;(Ministry for the Environment 2018)&lt;/DisplayText&gt;&lt;record&gt;&lt;rec-number&gt;3621&lt;/rec-number&gt;&lt;foreign-keys&gt;&lt;key app="EN" db-id="sd2rx2xfxx9s25ed9ac5f9dbdtewee220ewx" timestamp="1611872149" guid="bec5e9f5-3231-4dd9-9bed-c866955326fc"&gt;3621&lt;/key&gt;&lt;/foreign-keys&gt;&lt;ref-type name="Report"&gt;27&lt;/ref-type&gt;&lt;contributors&gt;&lt;authors&gt;&lt;author&gt;Ministry for the Environment,&lt;/author&gt;&lt;/authors&gt;&lt;tertiary-authors&gt;&lt;author&gt;Ministry for the Environment,&lt;/author&gt;&lt;/tertiary-authors&gt;&lt;/contributors&gt;&lt;titles&gt;&lt;title&gt;Reducing barriers to Electric Vehicle uptake: Behavioural insights analysis and review&lt;/title&gt;&lt;/titles&gt;&lt;dates&gt;&lt;year&gt;2018&lt;/year&gt;&lt;/dates&gt;&lt;pub-location&gt;Wellington&lt;/pub-location&gt;&lt;urls&gt;&lt;related-urls&gt;&lt;url&gt;https://www.iccc.mfe.govt.nz/assets/PDF_Library/ad42c96b5f/MfE-Reducing-Barriers-to-Electric-Vehicle-Uptake.pdf&lt;/url&gt;&lt;/related-urls&gt;&lt;/urls&gt;&lt;/record&gt;&lt;/Cite&gt;&lt;/EndNote&gt;</w:instrText>
      </w:r>
      <w:r w:rsidR="008A175F">
        <w:rPr>
          <w:lang w:val="en-GB"/>
        </w:rPr>
        <w:fldChar w:fldCharType="separate"/>
      </w:r>
      <w:r w:rsidR="008A175F">
        <w:rPr>
          <w:noProof/>
          <w:lang w:val="en-GB"/>
        </w:rPr>
        <w:t>(Ministry for the Environment 2018)</w:t>
      </w:r>
      <w:r w:rsidR="008A175F">
        <w:rPr>
          <w:lang w:val="en-GB"/>
        </w:rPr>
        <w:fldChar w:fldCharType="end"/>
      </w:r>
      <w:r w:rsidRPr="00857945">
        <w:rPr>
          <w:lang w:val="en-GB"/>
        </w:rPr>
        <w:t>.</w:t>
      </w:r>
    </w:p>
    <w:p w14:paraId="04E3B2C5" w14:textId="51A4E0D8" w:rsidR="00857945" w:rsidRPr="00857945" w:rsidRDefault="00D970EE" w:rsidP="0023613C">
      <w:pPr>
        <w:pStyle w:val="TG-RECOMMENDATION"/>
        <w:rPr>
          <w:rFonts w:eastAsiaTheme="minorEastAsia"/>
          <w:lang w:val="en-GB"/>
        </w:rPr>
      </w:pPr>
      <w:r w:rsidRPr="1AA173EA">
        <w:rPr>
          <w:lang w:val="en-GB"/>
        </w:rPr>
        <w:t>CCC should recommend that the Government prioritise the opportunity-focused recommendation</w:t>
      </w:r>
      <w:r w:rsidR="009D5EEC">
        <w:rPr>
          <w:lang w:val="en-GB"/>
        </w:rPr>
        <w:t>s</w:t>
      </w:r>
      <w:r w:rsidRPr="1AA173EA">
        <w:rPr>
          <w:lang w:val="en-GB"/>
        </w:rPr>
        <w:t xml:space="preserve"> of the Ministry’s report on adoption of EVs.</w:t>
      </w:r>
    </w:p>
    <w:p w14:paraId="6173DC67" w14:textId="77777777" w:rsidR="00451DC2" w:rsidRDefault="00451DC2" w:rsidP="00451DC2">
      <w:pPr>
        <w:pStyle w:val="Heading3"/>
      </w:pPr>
      <w:r>
        <w:t>Electrification of trucks and buses</w:t>
      </w:r>
    </w:p>
    <w:p w14:paraId="74F76F35" w14:textId="293F27AC" w:rsidR="0FD8D7F4" w:rsidRDefault="0FD8D7F4" w:rsidP="670DB8DD">
      <w:pPr>
        <w:rPr>
          <w:rFonts w:ascii="Calibri" w:hAnsi="Calibri"/>
          <w:color w:val="000000" w:themeColor="text1"/>
        </w:rPr>
      </w:pPr>
      <w:r w:rsidRPr="670DB8DD">
        <w:rPr>
          <w:rFonts w:ascii="Calibri" w:hAnsi="Calibri"/>
          <w:color w:val="000000" w:themeColor="text1"/>
        </w:rPr>
        <w:t>Electrification of public transport buses in Christchurch will reduce CO2 emission</w:t>
      </w:r>
      <w:r w:rsidR="009A00B6">
        <w:rPr>
          <w:rFonts w:ascii="Calibri" w:hAnsi="Calibri"/>
          <w:color w:val="000000" w:themeColor="text1"/>
        </w:rPr>
        <w:t>s</w:t>
      </w:r>
      <w:r w:rsidRPr="670DB8DD">
        <w:rPr>
          <w:rFonts w:ascii="Calibri" w:hAnsi="Calibri"/>
          <w:color w:val="000000" w:themeColor="text1"/>
        </w:rPr>
        <w:t xml:space="preserve"> from public transport </w:t>
      </w:r>
      <w:r w:rsidR="009A00B6">
        <w:rPr>
          <w:rFonts w:ascii="Calibri" w:hAnsi="Calibri"/>
          <w:color w:val="000000" w:themeColor="text1"/>
        </w:rPr>
        <w:t>in</w:t>
      </w:r>
      <w:r w:rsidRPr="670DB8DD">
        <w:rPr>
          <w:rFonts w:ascii="Calibri" w:hAnsi="Calibri"/>
          <w:color w:val="000000" w:themeColor="text1"/>
        </w:rPr>
        <w:t xml:space="preserve"> the area by 14% </w:t>
      </w:r>
      <w:r w:rsidR="00F45EE4">
        <w:rPr>
          <w:rFonts w:ascii="Calibri" w:hAnsi="Calibri"/>
          <w:color w:val="000000" w:themeColor="text1"/>
        </w:rPr>
        <w:fldChar w:fldCharType="begin"/>
      </w:r>
      <w:r w:rsidR="00417780">
        <w:rPr>
          <w:rFonts w:ascii="Calibri" w:hAnsi="Calibri"/>
          <w:color w:val="000000" w:themeColor="text1"/>
        </w:rPr>
        <w:instrText xml:space="preserve"> ADDIN EN.CITE &lt;EndNote&gt;&lt;Cite&gt;&lt;Author&gt;Environment Canterbury&lt;/Author&gt;&lt;Year&gt;2020&lt;/Year&gt;&lt;RecNum&gt;3655&lt;/RecNum&gt;&lt;DisplayText&gt;(Environment Canterbury 2020)&lt;/DisplayText&gt;&lt;record&gt;&lt;rec-number&gt;3655&lt;/rec-number&gt;&lt;foreign-keys&gt;&lt;key app="EN" db-id="sd2rx2xfxx9s25ed9ac5f9dbdtewee220ewx" timestamp="1616455400" guid="5e1129c2-ad03-4f6a-9afd-b803775dcb54"&gt;3655&lt;/key&gt;&lt;/foreign-keys&gt;&lt;ref-type name="Web Page"&gt;12&lt;/ref-type&gt;&lt;contributors&gt;&lt;authors&gt;&lt;author&gt;Environment Canterbury,&lt;/author&gt;&lt;/authors&gt;&lt;/contributors&gt;&lt;titles&gt;&lt;title&gt;Environment Canterbury accelerates move to new, low emission buses&lt;/title&gt;&lt;/titles&gt;&lt;dates&gt;&lt;year&gt;2020&lt;/year&gt;&lt;/dates&gt;&lt;urls&gt;&lt;related-urls&gt;&lt;url&gt;https://www.ecan.govt.nz/get-involved/news-and-events/2020/environment-canterbury-accelerates-move-to-new-low-emission-buses/&lt;/url&gt;&lt;/related-urls&gt;&lt;/urls&gt;&lt;/record&gt;&lt;/Cite&gt;&lt;/EndNote&gt;</w:instrText>
      </w:r>
      <w:r w:rsidR="00F45EE4">
        <w:rPr>
          <w:rFonts w:ascii="Calibri" w:hAnsi="Calibri"/>
          <w:color w:val="000000" w:themeColor="text1"/>
        </w:rPr>
        <w:fldChar w:fldCharType="separate"/>
      </w:r>
      <w:r w:rsidR="00F45EE4">
        <w:rPr>
          <w:rFonts w:ascii="Calibri" w:hAnsi="Calibri"/>
          <w:noProof/>
          <w:color w:val="000000" w:themeColor="text1"/>
        </w:rPr>
        <w:t>(Environment Canterbury 2020)</w:t>
      </w:r>
      <w:r w:rsidR="00F45EE4">
        <w:rPr>
          <w:rFonts w:ascii="Calibri" w:hAnsi="Calibri"/>
          <w:color w:val="000000" w:themeColor="text1"/>
        </w:rPr>
        <w:fldChar w:fldCharType="end"/>
      </w:r>
      <w:r w:rsidRPr="670DB8DD">
        <w:rPr>
          <w:rFonts w:ascii="Calibri" w:hAnsi="Calibri"/>
          <w:color w:val="000000" w:themeColor="text1"/>
        </w:rPr>
        <w:t xml:space="preserve">. </w:t>
      </w:r>
      <w:r w:rsidR="37B6EC5E" w:rsidRPr="670DB8DD">
        <w:rPr>
          <w:rFonts w:ascii="Calibri" w:hAnsi="Calibri"/>
          <w:color w:val="000000" w:themeColor="text1"/>
        </w:rPr>
        <w:t xml:space="preserve">As former CEO Bill Bayfield said </w:t>
      </w:r>
      <w:r w:rsidR="00B026E7">
        <w:rPr>
          <w:rFonts w:ascii="Calibri" w:hAnsi="Calibri"/>
          <w:color w:val="000000" w:themeColor="text1"/>
        </w:rPr>
        <w:t>in</w:t>
      </w:r>
      <w:r w:rsidR="37B6EC5E" w:rsidRPr="670DB8DD">
        <w:rPr>
          <w:rFonts w:ascii="Calibri" w:hAnsi="Calibri"/>
          <w:color w:val="000000" w:themeColor="text1"/>
        </w:rPr>
        <w:t xml:space="preserve"> one of his speeches</w:t>
      </w:r>
      <w:r w:rsidR="547BABD0" w:rsidRPr="670DB8DD">
        <w:rPr>
          <w:rFonts w:ascii="Calibri" w:hAnsi="Calibri"/>
          <w:color w:val="000000" w:themeColor="text1"/>
        </w:rPr>
        <w:t xml:space="preserve"> related to the bill</w:t>
      </w:r>
      <w:r w:rsidR="37B6EC5E" w:rsidRPr="670DB8DD">
        <w:rPr>
          <w:rFonts w:ascii="Calibri" w:hAnsi="Calibri"/>
          <w:color w:val="000000" w:themeColor="text1"/>
        </w:rPr>
        <w:t xml:space="preserve">, electrification of public transport would be a win-win-win </w:t>
      </w:r>
      <w:r w:rsidR="00F02637">
        <w:rPr>
          <w:rFonts w:ascii="Calibri" w:hAnsi="Calibri"/>
          <w:color w:val="000000" w:themeColor="text1"/>
        </w:rPr>
        <w:t>e</w:t>
      </w:r>
      <w:r w:rsidR="37B6EC5E" w:rsidRPr="670DB8DD">
        <w:rPr>
          <w:rFonts w:ascii="Calibri" w:hAnsi="Calibri"/>
          <w:color w:val="000000" w:themeColor="text1"/>
        </w:rPr>
        <w:t xml:space="preserve">mission solution </w:t>
      </w:r>
      <w:r w:rsidR="009A00B6">
        <w:rPr>
          <w:rFonts w:ascii="Calibri" w:hAnsi="Calibri"/>
          <w:color w:val="000000" w:themeColor="text1"/>
        </w:rPr>
        <w:t xml:space="preserve">in Christchurch and </w:t>
      </w:r>
      <w:r w:rsidR="37B6EC5E" w:rsidRPr="670DB8DD">
        <w:rPr>
          <w:rFonts w:ascii="Calibri" w:hAnsi="Calibri"/>
          <w:color w:val="000000" w:themeColor="text1"/>
        </w:rPr>
        <w:t xml:space="preserve">New Zealand in general. </w:t>
      </w:r>
    </w:p>
    <w:p w14:paraId="2A6112C6" w14:textId="44E109EB" w:rsidR="670DB8DD" w:rsidRDefault="00293D1B" w:rsidP="670DB8DD">
      <w:pPr>
        <w:rPr>
          <w:rFonts w:ascii="Calibri" w:hAnsi="Calibri"/>
          <w:color w:val="000000" w:themeColor="text1"/>
        </w:rPr>
      </w:pPr>
      <w:r w:rsidRPr="4B9D702D">
        <w:rPr>
          <w:rFonts w:ascii="Calibri" w:hAnsi="Calibri"/>
          <w:color w:val="000000" w:themeColor="text1"/>
        </w:rPr>
        <w:t xml:space="preserve">However, it appears that this </w:t>
      </w:r>
      <w:r w:rsidR="007A1739" w:rsidRPr="4B9D702D">
        <w:rPr>
          <w:rFonts w:ascii="Calibri" w:hAnsi="Calibri"/>
          <w:color w:val="000000" w:themeColor="text1"/>
        </w:rPr>
        <w:t xml:space="preserve">action is being led without the input of </w:t>
      </w:r>
      <w:hyperlink r:id="rId20">
        <w:r w:rsidR="00B67B08" w:rsidRPr="4B9D702D">
          <w:rPr>
            <w:rStyle w:val="Hyperlink"/>
            <w:rFonts w:ascii="Calibri" w:hAnsi="Calibri"/>
          </w:rPr>
          <w:t>Ms. Cobaleda</w:t>
        </w:r>
      </w:hyperlink>
      <w:r w:rsidR="00B67B08" w:rsidRPr="4B9D702D">
        <w:rPr>
          <w:rFonts w:ascii="Calibri" w:hAnsi="Calibri"/>
          <w:color w:val="000000" w:themeColor="text1"/>
        </w:rPr>
        <w:t xml:space="preserve">, </w:t>
      </w:r>
      <w:r w:rsidR="2BEBCEF8" w:rsidRPr="00015A93">
        <w:rPr>
          <w:rFonts w:ascii="Calibri" w:hAnsi="Calibri"/>
          <w:color w:val="000000" w:themeColor="text1"/>
        </w:rPr>
        <w:t>who is</w:t>
      </w:r>
      <w:r w:rsidR="2BEBCEF8" w:rsidRPr="4B9D702D">
        <w:rPr>
          <w:rFonts w:ascii="Calibri" w:hAnsi="Calibri"/>
          <w:color w:val="000000" w:themeColor="text1"/>
        </w:rPr>
        <w:t xml:space="preserve"> </w:t>
      </w:r>
      <w:r w:rsidR="007A1739" w:rsidRPr="4B9D702D">
        <w:rPr>
          <w:rFonts w:ascii="Calibri" w:hAnsi="Calibri"/>
          <w:color w:val="000000" w:themeColor="text1"/>
        </w:rPr>
        <w:t>one of the foremost experts in</w:t>
      </w:r>
      <w:r w:rsidR="00B021E5" w:rsidRPr="4B9D702D">
        <w:rPr>
          <w:rFonts w:ascii="Calibri" w:hAnsi="Calibri"/>
          <w:color w:val="000000" w:themeColor="text1"/>
        </w:rPr>
        <w:t xml:space="preserve"> bus</w:t>
      </w:r>
      <w:r w:rsidR="007A1739" w:rsidRPr="4B9D702D">
        <w:rPr>
          <w:rFonts w:ascii="Calibri" w:hAnsi="Calibri"/>
          <w:color w:val="000000" w:themeColor="text1"/>
        </w:rPr>
        <w:t xml:space="preserve"> electrification and a current advisor to the US Biden Administration </w:t>
      </w:r>
      <w:r w:rsidR="254591C8" w:rsidRPr="00015A93">
        <w:rPr>
          <w:rFonts w:ascii="Calibri" w:hAnsi="Calibri"/>
          <w:color w:val="000000" w:themeColor="text1"/>
        </w:rPr>
        <w:t>and</w:t>
      </w:r>
      <w:r w:rsidR="254591C8" w:rsidRPr="4B9D702D">
        <w:rPr>
          <w:rFonts w:ascii="Calibri" w:hAnsi="Calibri"/>
          <w:color w:val="000000" w:themeColor="text1"/>
        </w:rPr>
        <w:t xml:space="preserve"> </w:t>
      </w:r>
      <w:r w:rsidR="007A1739" w:rsidRPr="4B9D702D">
        <w:rPr>
          <w:rFonts w:ascii="Calibri" w:hAnsi="Calibri"/>
          <w:color w:val="000000" w:themeColor="text1"/>
        </w:rPr>
        <w:t>who now lives in Christchurch.</w:t>
      </w:r>
    </w:p>
    <w:p w14:paraId="4F7C071F" w14:textId="2C127F8C" w:rsidR="007A1739" w:rsidRDefault="007A1739" w:rsidP="008A6564">
      <w:pPr>
        <w:pStyle w:val="TG-RECOMMENDATION"/>
      </w:pPr>
      <w:r>
        <w:t xml:space="preserve">CCC should </w:t>
      </w:r>
      <w:r w:rsidR="00F45EE4">
        <w:t xml:space="preserve">recommend to Government that </w:t>
      </w:r>
      <w:r w:rsidR="007300BC">
        <w:t xml:space="preserve">the implementation of the </w:t>
      </w:r>
      <w:r w:rsidR="00D678B4">
        <w:t xml:space="preserve">bus electrification </w:t>
      </w:r>
      <w:r w:rsidR="007300BC">
        <w:t xml:space="preserve">actions include </w:t>
      </w:r>
      <w:r w:rsidR="00D678B4">
        <w:t>technical input from a broad range of experts</w:t>
      </w:r>
      <w:r w:rsidR="004871DF">
        <w:t>, not just bus suppliers and service providers</w:t>
      </w:r>
    </w:p>
    <w:p w14:paraId="0764E70D" w14:textId="77777777" w:rsidR="00451DC2" w:rsidRDefault="00451DC2" w:rsidP="00451DC2">
      <w:pPr>
        <w:pStyle w:val="Heading3"/>
        <w:rPr>
          <w:rFonts w:eastAsiaTheme="minorEastAsia"/>
        </w:rPr>
      </w:pPr>
      <w:r w:rsidRPr="7FA9F0CF">
        <w:rPr>
          <w:rFonts w:eastAsiaTheme="minorEastAsia"/>
        </w:rPr>
        <w:t>Biofuels for trucks and buses</w:t>
      </w:r>
    </w:p>
    <w:p w14:paraId="3A68721D" w14:textId="66D0D07A" w:rsidR="00451DC2" w:rsidRDefault="00451DC2" w:rsidP="00451DC2">
      <w:pPr>
        <w:rPr>
          <w:rFonts w:ascii="Calibri" w:eastAsia="Yu Mincho" w:hAnsi="Calibri" w:cs="Arial"/>
        </w:rPr>
      </w:pPr>
      <w:r>
        <w:t xml:space="preserve">Recent modelling shows that the cost-effectiveness of biofuel substitution for standard fossil fuels is marginal in the United States </w:t>
      </w:r>
      <w:r>
        <w:fldChar w:fldCharType="begin"/>
      </w:r>
      <w:r>
        <w:instrText xml:space="preserve"> ADDIN EN.CITE &lt;EndNote&gt;&lt;Cite&gt;&lt;Author&gt;Hossain&lt;/Author&gt;&lt;Year&gt;2020&lt;/Year&gt;&lt;RecNum&gt;3645&lt;/RecNum&gt;&lt;DisplayText&gt;(Hossain and Serletis 2020)&lt;/DisplayText&gt;&lt;record&gt;&lt;rec-number&gt;3645&lt;/rec-number&gt;&lt;foreign-keys&gt;&lt;key app="EN" db-id="sd2rx2xfxx9s25ed9ac5f9dbdtewee220ewx" timestamp="1613937781" guid="e36b5b22-56b3-41fc-9e7a-beb10ddf53f0"&gt;3645&lt;/key&gt;&lt;/foreign-keys&gt;&lt;ref-type name="Journal Article"&gt;17&lt;/ref-type&gt;&lt;contributors&gt;&lt;authors&gt;&lt;author&gt;Hossain, A. K. M. Nurul&lt;/author&gt;&lt;author&gt;Serletis, Apostolos&lt;/author&gt;&lt;/authors&gt;&lt;/contributors&gt;&lt;titles&gt;&lt;title&gt;Biofuel substitution in the U.S. transportation sector&lt;/title&gt;&lt;secondary-title&gt;The Journal of Economic Asymmetries&lt;/secondary-title&gt;&lt;/titles&gt;&lt;periodical&gt;&lt;full-title&gt;The Journal of Economic Asymmetries&lt;/full-title&gt;&lt;/periodical&gt;&lt;pages&gt;e00161&lt;/pages&gt;&lt;volume&gt;22&lt;/volume&gt;&lt;keywords&gt;&lt;keyword&gt;Biofuels&lt;/keyword&gt;&lt;keyword&gt;Interfuel substitution&lt;/keyword&gt;&lt;keyword&gt;Normalized quadratic&lt;/keyword&gt;&lt;/keywords&gt;&lt;dates&gt;&lt;year&gt;2020&lt;/year&gt;&lt;pub-dates&gt;&lt;date&gt;2020/11/01/&lt;/date&gt;&lt;/pub-dates&gt;&lt;/dates&gt;&lt;isbn&gt;1703-4949&lt;/isbn&gt;&lt;urls&gt;&lt;related-urls&gt;&lt;url&gt;https://www.sciencedirect.com/science/article/pii/S1703494920300086&lt;/url&gt;&lt;/related-urls&gt;&lt;/urls&gt;&lt;electronic-resource-num&gt;https://doi.org/10.1016/j.jeca.2020.e00161&lt;/electronic-resource-num&gt;&lt;/record&gt;&lt;/Cite&gt;&lt;/EndNote&gt;</w:instrText>
      </w:r>
      <w:r>
        <w:fldChar w:fldCharType="separate"/>
      </w:r>
      <w:r>
        <w:rPr>
          <w:noProof/>
        </w:rPr>
        <w:t>(Hossain and Serletis 2020)</w:t>
      </w:r>
      <w:r>
        <w:fldChar w:fldCharType="end"/>
      </w:r>
      <w:r>
        <w:t xml:space="preserve"> and may have more substantial benefits in a tropical environment  such as Indonesia</w:t>
      </w:r>
      <w:r w:rsidRPr="00D30415">
        <w:t xml:space="preserve"> </w:t>
      </w:r>
      <w:r>
        <w:fldChar w:fldCharType="begin"/>
      </w:r>
      <w:r>
        <w:instrText xml:space="preserve"> ADDIN EN.CITE &lt;EndNote&gt;&lt;Cite&gt;&lt;Author&gt;Jupesta&lt;/Author&gt;&lt;Year&gt;2010&lt;/Year&gt;&lt;RecNum&gt;3646&lt;/RecNum&gt;&lt;DisplayText&gt;(Jupesta 2010)&lt;/DisplayText&gt;&lt;record&gt;&lt;rec-number&gt;3646&lt;/rec-number&gt;&lt;foreign-keys&gt;&lt;key app="EN" db-id="sd2rx2xfxx9s25ed9ac5f9dbdtewee220ewx" timestamp="1613937967" guid="8df776c5-79b5-4b3b-9b97-b16383bd5854"&gt;3646&lt;/key&gt;&lt;/foreign-keys&gt;&lt;ref-type name="Journal Article"&gt;17&lt;/ref-type&gt;&lt;contributors&gt;&lt;authors&gt;&lt;author&gt;Jupesta, Joni&lt;/author&gt;&lt;/authors&gt;&lt;/contributors&gt;&lt;titles&gt;&lt;title&gt;Impact of the Introduction of Biofuel in the Transportation Sector in Indonesia&lt;/title&gt;&lt;secondary-title&gt;Sustainability&lt;/secondary-title&gt;&lt;/titles&gt;&lt;periodical&gt;&lt;full-title&gt;Sustainability&lt;/full-title&gt;&lt;/periodical&gt;&lt;volume&gt;2&lt;/volume&gt;&lt;number&gt;6&lt;/number&gt;&lt;keywords&gt;&lt;keyword&gt;biofuel&lt;/keyword&gt;&lt;keyword&gt;energy systems modeling&lt;/keyword&gt;&lt;keyword&gt;sustainable production&lt;/keyword&gt;&lt;keyword&gt;transportation sector&lt;/keyword&gt;&lt;/keywords&gt;&lt;dates&gt;&lt;year&gt;2010&lt;/year&gt;&lt;/dates&gt;&lt;isbn&gt;2071-1050&lt;/isbn&gt;&lt;urls&gt;&lt;/urls&gt;&lt;electronic-resource-num&gt;10.3390/su2061831&lt;/electronic-resource-num&gt;&lt;/record&gt;&lt;/Cite&gt;&lt;/EndNote&gt;</w:instrText>
      </w:r>
      <w:r>
        <w:fldChar w:fldCharType="separate"/>
      </w:r>
      <w:r>
        <w:rPr>
          <w:noProof/>
        </w:rPr>
        <w:t>(Jupesta 2010)</w:t>
      </w:r>
      <w:r>
        <w:fldChar w:fldCharType="end"/>
      </w:r>
      <w:r>
        <w:t xml:space="preserve">. The authors of the Indonesian study note that their model did not incorporate land use change and deforestation impacts. For New Zealand, local biofuel production would necessitate some production shift for farmland which may have negative consequences overall </w:t>
      </w:r>
      <w:r>
        <w:fldChar w:fldCharType="begin"/>
      </w:r>
      <w:r>
        <w:instrText xml:space="preserve"> ADDIN EN.CITE &lt;EndNote&gt;&lt;Cite&gt;&lt;Author&gt;Hill&lt;/Author&gt;&lt;Year&gt;2009&lt;/Year&gt;&lt;RecNum&gt;3644&lt;/RecNum&gt;&lt;DisplayText&gt;(Hill 2009)&lt;/DisplayText&gt;&lt;record&gt;&lt;rec-number&gt;3644&lt;/rec-number&gt;&lt;foreign-keys&gt;&lt;key app="EN" db-id="sd2rx2xfxx9s25ed9ac5f9dbdtewee220ewx" timestamp="1613937696" guid="6604279c-922b-415f-a58e-6c6e3c71740c"&gt;3644&lt;/key&gt;&lt;/foreign-keys&gt;&lt;ref-type name="Book Section"&gt;5&lt;/ref-type&gt;&lt;contributors&gt;&lt;authors&gt;&lt;author&gt;Hill, Jason&lt;/author&gt;&lt;/authors&gt;&lt;secondary-authors&gt;&lt;author&gt;Lichtfouse, Eric&lt;/author&gt;&lt;author&gt;Navarrete, Mireille&lt;/author&gt;&lt;author&gt;Debaeke, Philippe&lt;/author&gt;&lt;author&gt;Véronique, Souchere&lt;/author&gt;&lt;author&gt;Alberola, Caroline&lt;/author&gt;&lt;/secondary-authors&gt;&lt;/contributors&gt;&lt;titles&gt;&lt;title&gt;Environmental Costs and Benefits of Transportation Biofuel Production from Food-and Lignocellulose-Based Energy Crops: A Review&lt;/title&gt;&lt;secondary-title&gt;Sustainable Agriculture&lt;/secondary-title&gt;&lt;/titles&gt;&lt;pages&gt;125-139&lt;/pages&gt;&lt;dates&gt;&lt;year&gt;2009&lt;/year&gt;&lt;pub-dates&gt;&lt;date&gt;2009//&lt;/date&gt;&lt;/pub-dates&gt;&lt;/dates&gt;&lt;pub-location&gt;Dordrecht&lt;/pub-location&gt;&lt;publisher&gt;Springer Netherlands&lt;/publisher&gt;&lt;isbn&gt;978-90-481-2666-8&lt;/isbn&gt;&lt;urls&gt;&lt;related-urls&gt;&lt;url&gt;https://doi.org/10.1007/978-90-481-2666-8_10&lt;/url&gt;&lt;/related-urls&gt;&lt;/urls&gt;&lt;electronic-resource-num&gt;10.1007/978-90-481-2666-8_10&lt;/electronic-resource-num&gt;&lt;/record&gt;&lt;/Cite&gt;&lt;/EndNote&gt;</w:instrText>
      </w:r>
      <w:r>
        <w:fldChar w:fldCharType="separate"/>
      </w:r>
      <w:r>
        <w:rPr>
          <w:noProof/>
        </w:rPr>
        <w:t>(Hill 2009)</w:t>
      </w:r>
      <w:r>
        <w:fldChar w:fldCharType="end"/>
      </w:r>
      <w:r>
        <w:t xml:space="preserve">. </w:t>
      </w:r>
    </w:p>
    <w:p w14:paraId="53EE90FC" w14:textId="0E23C32D" w:rsidR="00451DC2" w:rsidRPr="006C782C" w:rsidRDefault="009B6FA6" w:rsidP="009B6FA6">
      <w:pPr>
        <w:pStyle w:val="TG-RECOMMENDATION"/>
      </w:pPr>
      <w:r>
        <w:lastRenderedPageBreak/>
        <w:t xml:space="preserve">CCC should consider </w:t>
      </w:r>
      <w:r w:rsidR="000B03FD">
        <w:t>the limitations of biofuels cited here</w:t>
      </w:r>
      <w:r>
        <w:t xml:space="preserve"> when setting emissions targets and in the discussion of their potential</w:t>
      </w:r>
    </w:p>
    <w:p w14:paraId="6268977C" w14:textId="77777777" w:rsidR="00451DC2" w:rsidRDefault="00451DC2" w:rsidP="00451DC2">
      <w:pPr>
        <w:pStyle w:val="Heading3"/>
      </w:pPr>
      <w:r>
        <w:t>Hydrogen trucks and buses</w:t>
      </w:r>
    </w:p>
    <w:p w14:paraId="738CD010" w14:textId="7E37A06C" w:rsidR="00451DC2" w:rsidRDefault="00451DC2" w:rsidP="00451DC2">
      <w:r w:rsidRPr="00044ADA">
        <w:t xml:space="preserve">Hydrogen fuel cell technology has the potential to reduce emissions without the battery density issues of EVs </w:t>
      </w:r>
      <w:r>
        <w:fldChar w:fldCharType="begin"/>
      </w:r>
      <w:r>
        <w:instrText xml:space="preserve"> ADDIN EN.CITE &lt;EndNote&gt;&lt;Cite&gt;&lt;Author&gt;Lee&lt;/Author&gt;&lt;Year&gt;2018&lt;/Year&gt;&lt;RecNum&gt;3642&lt;/RecNum&gt;&lt;DisplayText&gt;(Lee, Elgowainy et al. 2018)&lt;/DisplayText&gt;&lt;record&gt;&lt;rec-number&gt;3642&lt;/rec-number&gt;&lt;foreign-keys&gt;&lt;key app="EN" db-id="sd2rx2xfxx9s25ed9ac5f9dbdtewee220ewx" timestamp="1613936783" guid="dca8d9fa-0870-48b8-9886-2e46dfe59b0f"&gt;3642&lt;/key&gt;&lt;/foreign-keys&gt;&lt;ref-type name="Journal Article"&gt;17&lt;/ref-type&gt;&lt;contributors&gt;&lt;authors&gt;&lt;author&gt;Lee, Dong-Yeon&lt;/author&gt;&lt;author&gt;Elgowainy, Amgad&lt;/author&gt;&lt;author&gt;Kotz, Andrew&lt;/author&gt;&lt;author&gt;Vijayagopal, Ram&lt;/author&gt;&lt;author&gt;Marcinkoski, Jason&lt;/author&gt;&lt;/authors&gt;&lt;/contributors&gt;&lt;titles&gt;&lt;title&gt;Life-cycle implications of hydrogen fuel cell electric vehicle technology for medium- and heavy-duty trucks&lt;/title&gt;&lt;secondary-title&gt;Journal of Power Sources&lt;/secondary-title&gt;&lt;/titles&gt;&lt;periodical&gt;&lt;full-title&gt;Journal of Power Sources&lt;/full-title&gt;&lt;/periodical&gt;&lt;pages&gt;217-229&lt;/pages&gt;&lt;volume&gt;393&lt;/volume&gt;&lt;keywords&gt;&lt;keyword&gt;Medium- and heavy-duty trucks&lt;/keyword&gt;&lt;keyword&gt;Hydrogen fuel cell electric vehicle&lt;/keyword&gt;&lt;keyword&gt;Zero emission vehicle&lt;/keyword&gt;&lt;keyword&gt;Life-cycle analysis&lt;/keyword&gt;&lt;keyword&gt;Fuel economy&lt;/keyword&gt;&lt;keyword&gt;Air emissions&lt;/keyword&gt;&lt;/keywords&gt;&lt;dates&gt;&lt;year&gt;2018&lt;/year&gt;&lt;pub-dates&gt;&lt;date&gt;2018/07/31/&lt;/date&gt;&lt;/pub-dates&gt;&lt;/dates&gt;&lt;isbn&gt;0378-7753&lt;/isbn&gt;&lt;urls&gt;&lt;related-urls&gt;&lt;url&gt;https://www.sciencedirect.com/science/article/pii/S0378775318304737&lt;/url&gt;&lt;/related-urls&gt;&lt;/urls&gt;&lt;electronic-resource-num&gt;https://doi.org/10.1016/j.jpowsour.2018.05.012&lt;/electronic-resource-num&gt;&lt;/record&gt;&lt;/Cite&gt;&lt;/EndNote&gt;</w:instrText>
      </w:r>
      <w:r>
        <w:fldChar w:fldCharType="separate"/>
      </w:r>
      <w:r>
        <w:rPr>
          <w:noProof/>
        </w:rPr>
        <w:t>(Lee, Elgowainy et al. 2018)</w:t>
      </w:r>
      <w:r>
        <w:fldChar w:fldCharType="end"/>
      </w:r>
      <w:r w:rsidRPr="00044ADA">
        <w:t>. Hybrid trucks using hydrogen fuel cells are a purported solution that can increase fuel economy by up to 60% but may have adverse emissions impacts unless carefully implemented</w:t>
      </w:r>
      <w:r>
        <w:t xml:space="preserve"> </w:t>
      </w:r>
      <w:r>
        <w:fldChar w:fldCharType="begin"/>
      </w:r>
      <w:r>
        <w:instrText xml:space="preserve"> ADDIN EN.CITE &lt;EndNote&gt;&lt;Cite&gt;&lt;Author&gt;Gao&lt;/Author&gt;&lt;Year&gt;2015&lt;/Year&gt;&lt;RecNum&gt;3639&lt;/RecNum&gt;&lt;DisplayText&gt;(Gao, Smith et al. 2015)&lt;/DisplayText&gt;&lt;record&gt;&lt;rec-number&gt;3639&lt;/rec-number&gt;&lt;foreign-keys&gt;&lt;key app="EN" db-id="sd2rx2xfxx9s25ed9ac5f9dbdtewee220ewx" timestamp="1613624910" guid="f729c358-ba3a-4ec5-9152-b1aa785f8f84"&gt;3639&lt;/key&gt;&lt;/foreign-keys&gt;&lt;ref-type name="Journal Article"&gt;17&lt;/ref-type&gt;&lt;contributors&gt;&lt;authors&gt;&lt;author&gt;Gao, Zhiming&lt;/author&gt;&lt;author&gt;Smith, David E.&lt;/author&gt;&lt;author&gt;Stuart Daw, C.&lt;/author&gt;&lt;author&gt;Dean Edwards, K.&lt;/author&gt;&lt;author&gt;Kaul, Brian C.&lt;/author&gt;&lt;author&gt;Domingo, Norberto&lt;/author&gt;&lt;author&gt;Parks, James E.&lt;/author&gt;&lt;author&gt;Jones, Perry T.&lt;/author&gt;&lt;/authors&gt;&lt;/contributors&gt;&lt;titles&gt;&lt;title&gt;The evaluation of developing vehicle technologies on the fuel economy of long-haul trucks&lt;/title&gt;&lt;secondary-title&gt;Energy Conversion and Management&lt;/secondary-title&gt;&lt;/titles&gt;&lt;periodical&gt;&lt;full-title&gt;Energy Conversion and Management&lt;/full-title&gt;&lt;/periodical&gt;&lt;pages&gt;766-781&lt;/pages&gt;&lt;volume&gt;106&lt;/volume&gt;&lt;keywords&gt;&lt;keyword&gt;Fuel economy&lt;/keyword&gt;&lt;keyword&gt;Long-haul truck&lt;/keyword&gt;&lt;keyword&gt;Hybridization&lt;/keyword&gt;&lt;keyword&gt;Load reduction&lt;/keyword&gt;&lt;keyword&gt;Efficiency enhancement&lt;/keyword&gt;&lt;/keywords&gt;&lt;dates&gt;&lt;year&gt;2015&lt;/year&gt;&lt;pub-dates&gt;&lt;date&gt;2015/12/01/&lt;/date&gt;&lt;/pub-dates&gt;&lt;/dates&gt;&lt;isbn&gt;0196-8904&lt;/isbn&gt;&lt;urls&gt;&lt;related-urls&gt;&lt;url&gt;https://www.sciencedirect.com/science/article/pii/S0196890415009279&lt;/url&gt;&lt;/related-urls&gt;&lt;/urls&gt;&lt;electronic-resource-num&gt;https://doi.org/10.1016/j.enconman.2015.10.006&lt;/electronic-resource-num&gt;&lt;/record&gt;&lt;/Cite&gt;&lt;/EndNote&gt;</w:instrText>
      </w:r>
      <w:r>
        <w:fldChar w:fldCharType="separate"/>
      </w:r>
      <w:r>
        <w:rPr>
          <w:noProof/>
        </w:rPr>
        <w:t>(Gao, Smith et al. 2015)</w:t>
      </w:r>
      <w:r>
        <w:fldChar w:fldCharType="end"/>
      </w:r>
      <w:r>
        <w:t>. In addition,</w:t>
      </w:r>
      <w:r w:rsidRPr="00044ADA">
        <w:t xml:space="preserve"> the lack of cost-effective infrastructure is the main barrier to usage </w:t>
      </w:r>
      <w:r>
        <w:fldChar w:fldCharType="begin"/>
      </w:r>
      <w:r>
        <w:instrText xml:space="preserve"> ADDIN EN.CITE &lt;EndNote&gt;&lt;Cite&gt;&lt;Author&gt;Lahnaoui&lt;/Author&gt;&lt;Year&gt;2019&lt;/Year&gt;&lt;RecNum&gt;3643&lt;/RecNum&gt;&lt;DisplayText&gt;(Lahnaoui, Wulf et al. 2019)&lt;/DisplayText&gt;&lt;record&gt;&lt;rec-number&gt;3643&lt;/rec-number&gt;&lt;foreign-keys&gt;&lt;key app="EN" db-id="sd2rx2xfxx9s25ed9ac5f9dbdtewee220ewx" timestamp="1613936984" guid="3bc28995-31c2-4bf2-ac58-07de436d66be"&gt;3643&lt;/key&gt;&lt;/foreign-keys&gt;&lt;ref-type name="Journal Article"&gt;17&lt;/ref-type&gt;&lt;contributors&gt;&lt;authors&gt;&lt;author&gt;Lahnaoui, Amin&lt;/author&gt;&lt;author&gt;Wulf, Christina&lt;/author&gt;&lt;author&gt;Heinrichs, Heidi&lt;/author&gt;&lt;author&gt;Dalmazzone, Didier&lt;/author&gt;&lt;/authors&gt;&lt;/contributors&gt;&lt;titles&gt;&lt;title&gt;Optimizing hydrogen transportation system for mobility via compressed hydrogen trucks&lt;/title&gt;&lt;secondary-title&gt;International Journal of Hydrogen Energy&lt;/secondary-title&gt;&lt;/titles&gt;&lt;periodical&gt;&lt;full-title&gt;International Journal of Hydrogen Energy&lt;/full-title&gt;&lt;/periodical&gt;&lt;pages&gt;19302-19312&lt;/pages&gt;&lt;volume&gt;44&lt;/volume&gt;&lt;number&gt;35&lt;/number&gt;&lt;keywords&gt;&lt;keyword&gt;Hydrogen infrastructure&lt;/keyword&gt;&lt;keyword&gt;Transportation&lt;/keyword&gt;&lt;keyword&gt;Storage&lt;/keyword&gt;&lt;keyword&gt;Compression&lt;/keyword&gt;&lt;keyword&gt;Cost optimization&lt;/keyword&gt;&lt;keyword&gt;Compressed gas truck&lt;/keyword&gt;&lt;/keywords&gt;&lt;dates&gt;&lt;year&gt;2019&lt;/year&gt;&lt;pub-dates&gt;&lt;date&gt;2019/07/19/&lt;/date&gt;&lt;/pub-dates&gt;&lt;/dates&gt;&lt;isbn&gt;0360-3199&lt;/isbn&gt;&lt;urls&gt;&lt;related-urls&gt;&lt;url&gt;https://www.sciencedirect.com/science/article/pii/S0360319918335171&lt;/url&gt;&lt;/related-urls&gt;&lt;/urls&gt;&lt;electronic-resource-num&gt;https://doi.org/10.1016/j.ijhydene.2018.10.234&lt;/electronic-resource-num&gt;&lt;/record&gt;&lt;/Cite&gt;&lt;/EndNote&gt;</w:instrText>
      </w:r>
      <w:r>
        <w:fldChar w:fldCharType="separate"/>
      </w:r>
      <w:r>
        <w:rPr>
          <w:noProof/>
        </w:rPr>
        <w:t>(Lahnaoui, Wulf et al. 2019)</w:t>
      </w:r>
      <w:r>
        <w:fldChar w:fldCharType="end"/>
      </w:r>
      <w:r w:rsidRPr="00044ADA">
        <w:t>.</w:t>
      </w:r>
    </w:p>
    <w:p w14:paraId="741AAFFD" w14:textId="2FCF525E" w:rsidR="3C06CE93" w:rsidRDefault="004F2C05" w:rsidP="3C06CE93">
      <w:r>
        <w:t>Dr. Susan Krumdie</w:t>
      </w:r>
      <w:r w:rsidR="0024407C">
        <w:t xml:space="preserve">ck (formerly of the University of Canterbury) has researched these issues for the US Department of Energy and written extensively on </w:t>
      </w:r>
      <w:r w:rsidR="752350BC">
        <w:t>them and</w:t>
      </w:r>
      <w:r w:rsidR="0024407C">
        <w:t xml:space="preserve"> could provide CCC with further guidance on the practicalities</w:t>
      </w:r>
      <w:r w:rsidR="000B03FD">
        <w:t>.</w:t>
      </w:r>
    </w:p>
    <w:p w14:paraId="1DC08C62" w14:textId="5AF59594" w:rsidR="000B03FD" w:rsidRPr="006C782C" w:rsidRDefault="000B03FD" w:rsidP="007A686F">
      <w:pPr>
        <w:pStyle w:val="TG-RECOMMENDATION"/>
        <w:numPr>
          <w:ilvl w:val="0"/>
          <w:numId w:val="10"/>
        </w:numPr>
      </w:pPr>
      <w:r>
        <w:t>CCC should consider the limitations of hydrogen cited here when setting emissions targets and in the discussion of their potential</w:t>
      </w:r>
    </w:p>
    <w:p w14:paraId="491E9176" w14:textId="21454548" w:rsidR="00451DC2" w:rsidRDefault="00451DC2" w:rsidP="00C43D57">
      <w:pPr>
        <w:pStyle w:val="Heading2"/>
      </w:pPr>
      <w:bookmarkStart w:id="13" w:name="_Toc67752210"/>
      <w:r>
        <w:t>4b.2 Urban form</w:t>
      </w:r>
      <w:bookmarkEnd w:id="13"/>
    </w:p>
    <w:p w14:paraId="170A34DD" w14:textId="2C3A5968" w:rsidR="33046627" w:rsidRDefault="00C9507E" w:rsidP="33046627">
      <w:pPr>
        <w:rPr>
          <w:rFonts w:ascii="Calibri" w:eastAsia="Yu Mincho" w:hAnsi="Calibri" w:cs="Arial"/>
        </w:rPr>
      </w:pPr>
      <w:r w:rsidRPr="670DB8DD">
        <w:rPr>
          <w:rFonts w:ascii="Calibri" w:eastAsia="Yu Mincho" w:hAnsi="Calibri" w:cs="Arial"/>
        </w:rPr>
        <w:t xml:space="preserve">We support your discussion on urban form and the need to “grow up” as opposed to “grow out”. </w:t>
      </w:r>
      <w:r w:rsidR="613CA56A" w:rsidRPr="670DB8DD">
        <w:rPr>
          <w:rFonts w:ascii="Calibri" w:eastAsia="Yu Mincho" w:hAnsi="Calibri" w:cs="Arial"/>
        </w:rPr>
        <w:t xml:space="preserve">We observe, though, that current trends </w:t>
      </w:r>
      <w:r w:rsidR="609034B8" w:rsidRPr="670DB8DD">
        <w:rPr>
          <w:rFonts w:ascii="Calibri" w:eastAsia="Yu Mincho" w:hAnsi="Calibri" w:cs="Arial"/>
        </w:rPr>
        <w:t xml:space="preserve">lend more </w:t>
      </w:r>
      <w:r w:rsidR="2332DFFA" w:rsidRPr="670DB8DD">
        <w:rPr>
          <w:rFonts w:ascii="Calibri" w:eastAsia="Yu Mincho" w:hAnsi="Calibri" w:cs="Arial"/>
        </w:rPr>
        <w:t xml:space="preserve">support </w:t>
      </w:r>
      <w:r w:rsidR="609034B8" w:rsidRPr="670DB8DD">
        <w:rPr>
          <w:rFonts w:ascii="Calibri" w:eastAsia="Yu Mincho" w:hAnsi="Calibri" w:cs="Arial"/>
        </w:rPr>
        <w:t xml:space="preserve">to “grow out”. </w:t>
      </w:r>
      <w:r w:rsidR="71835B54" w:rsidRPr="670DB8DD">
        <w:rPr>
          <w:rFonts w:ascii="Calibri" w:eastAsia="Yu Mincho" w:hAnsi="Calibri" w:cs="Arial"/>
        </w:rPr>
        <w:t xml:space="preserve">There are two main drivers for </w:t>
      </w:r>
      <w:r w:rsidR="7D88A19D" w:rsidRPr="670DB8DD">
        <w:rPr>
          <w:rFonts w:ascii="Calibri" w:eastAsia="Yu Mincho" w:hAnsi="Calibri" w:cs="Arial"/>
        </w:rPr>
        <w:t>this</w:t>
      </w:r>
      <w:r w:rsidR="7EDB46B4" w:rsidRPr="670DB8DD">
        <w:rPr>
          <w:rFonts w:ascii="Calibri" w:eastAsia="Yu Mincho" w:hAnsi="Calibri" w:cs="Arial"/>
        </w:rPr>
        <w:t>:</w:t>
      </w:r>
    </w:p>
    <w:p w14:paraId="70AA2034" w14:textId="087940AA" w:rsidR="00924F85" w:rsidRPr="00D950CB" w:rsidRDefault="00CC0CE0" w:rsidP="007A686F">
      <w:pPr>
        <w:pStyle w:val="ListParagraph"/>
        <w:numPr>
          <w:ilvl w:val="0"/>
          <w:numId w:val="13"/>
        </w:numPr>
      </w:pPr>
      <w:r w:rsidRPr="00D950CB">
        <w:t xml:space="preserve">the </w:t>
      </w:r>
      <w:r w:rsidR="00F67781" w:rsidRPr="00D950CB">
        <w:t>transport infrastructure part of t</w:t>
      </w:r>
      <w:r w:rsidR="00D60465" w:rsidRPr="00D950CB">
        <w:t xml:space="preserve">he New Zealand Upgrade Programme has its emphasis on building more </w:t>
      </w:r>
      <w:r w:rsidR="00B955B0" w:rsidRPr="00D950CB">
        <w:t>roads and</w:t>
      </w:r>
      <w:r w:rsidR="00D60465" w:rsidRPr="00D950CB">
        <w:t xml:space="preserve"> will consequently </w:t>
      </w:r>
      <w:r w:rsidR="00B955B0" w:rsidRPr="00D950CB">
        <w:t xml:space="preserve">facilitate further sprawl. </w:t>
      </w:r>
    </w:p>
    <w:p w14:paraId="096845C5" w14:textId="77B1DBC5" w:rsidR="00B955B0" w:rsidRPr="00D950CB" w:rsidRDefault="008D472F" w:rsidP="007A686F">
      <w:pPr>
        <w:pStyle w:val="ListParagraph"/>
        <w:numPr>
          <w:ilvl w:val="0"/>
          <w:numId w:val="13"/>
        </w:numPr>
      </w:pPr>
      <w:r w:rsidRPr="00D950CB">
        <w:t xml:space="preserve">the current trend of housing cost escalation </w:t>
      </w:r>
      <w:r w:rsidR="002A0CAE" w:rsidRPr="00D950CB">
        <w:t xml:space="preserve">is forcing </w:t>
      </w:r>
      <w:r w:rsidR="00C96621" w:rsidRPr="00D950CB">
        <w:t xml:space="preserve">most first-home buyers </w:t>
      </w:r>
      <w:r w:rsidR="001A289E" w:rsidRPr="00D950CB">
        <w:t xml:space="preserve">into buying </w:t>
      </w:r>
      <w:r w:rsidR="00415596" w:rsidRPr="00D950CB">
        <w:t xml:space="preserve">far away from urban centres where land is </w:t>
      </w:r>
      <w:r w:rsidR="006D7D7A" w:rsidRPr="00D950CB">
        <w:t>more affordable</w:t>
      </w:r>
      <w:r w:rsidR="00CC23FE" w:rsidRPr="00D950CB">
        <w:t>, presenting the only chance of getting into home ownership through locking in long travel distances.</w:t>
      </w:r>
    </w:p>
    <w:p w14:paraId="72CB0F8D" w14:textId="4044B573" w:rsidR="002D468B" w:rsidRDefault="007B710C" w:rsidP="33046627">
      <w:pPr>
        <w:rPr>
          <w:rFonts w:ascii="Calibri" w:eastAsia="Yu Mincho" w:hAnsi="Calibri" w:cs="Arial"/>
        </w:rPr>
      </w:pPr>
      <w:r>
        <w:rPr>
          <w:rFonts w:ascii="Calibri" w:eastAsia="Yu Mincho" w:hAnsi="Calibri" w:cs="Arial"/>
        </w:rPr>
        <w:t>Taken together</w:t>
      </w:r>
      <w:r w:rsidR="00FF3925">
        <w:rPr>
          <w:rFonts w:ascii="Calibri" w:eastAsia="Yu Mincho" w:hAnsi="Calibri" w:cs="Arial"/>
        </w:rPr>
        <w:t xml:space="preserve">, </w:t>
      </w:r>
      <w:r w:rsidR="00C923D7">
        <w:rPr>
          <w:rFonts w:ascii="Calibri" w:eastAsia="Yu Mincho" w:hAnsi="Calibri" w:cs="Arial"/>
        </w:rPr>
        <w:t>these two drivers</w:t>
      </w:r>
      <w:r w:rsidR="00FF3925">
        <w:rPr>
          <w:rFonts w:ascii="Calibri" w:eastAsia="Yu Mincho" w:hAnsi="Calibri" w:cs="Arial"/>
        </w:rPr>
        <w:t xml:space="preserve"> </w:t>
      </w:r>
      <w:r w:rsidR="00E95883">
        <w:rPr>
          <w:rFonts w:ascii="Calibri" w:eastAsia="Yu Mincho" w:hAnsi="Calibri" w:cs="Arial"/>
        </w:rPr>
        <w:t xml:space="preserve">will see transport emissions increase </w:t>
      </w:r>
      <w:r w:rsidR="004104D1">
        <w:rPr>
          <w:rFonts w:ascii="Calibri" w:eastAsia="Yu Mincho" w:hAnsi="Calibri" w:cs="Arial"/>
        </w:rPr>
        <w:t>in the short term</w:t>
      </w:r>
      <w:r w:rsidR="00244DD8">
        <w:rPr>
          <w:rFonts w:ascii="Calibri" w:eastAsia="Yu Mincho" w:hAnsi="Calibri" w:cs="Arial"/>
        </w:rPr>
        <w:t xml:space="preserve"> to medium term, with little scope to reverse this effect</w:t>
      </w:r>
      <w:r w:rsidR="000C2374">
        <w:rPr>
          <w:rFonts w:ascii="Calibri" w:eastAsia="Yu Mincho" w:hAnsi="Calibri" w:cs="Arial"/>
        </w:rPr>
        <w:t xml:space="preserve"> </w:t>
      </w:r>
      <w:r w:rsidR="002D468B">
        <w:rPr>
          <w:rFonts w:ascii="Calibri" w:eastAsia="Yu Mincho" w:hAnsi="Calibri" w:cs="Arial"/>
        </w:rPr>
        <w:t>later</w:t>
      </w:r>
      <w:r w:rsidR="00244DD8">
        <w:rPr>
          <w:rFonts w:ascii="Calibri" w:eastAsia="Yu Mincho" w:hAnsi="Calibri" w:cs="Arial"/>
        </w:rPr>
        <w:t xml:space="preserve">. </w:t>
      </w:r>
      <w:r w:rsidR="002D72C8">
        <w:rPr>
          <w:rFonts w:ascii="Calibri" w:eastAsia="Yu Mincho" w:hAnsi="Calibri" w:cs="Arial"/>
        </w:rPr>
        <w:t xml:space="preserve">This is a major concern. </w:t>
      </w:r>
    </w:p>
    <w:p w14:paraId="17941982" w14:textId="3F44C6B6" w:rsidR="008A49A3" w:rsidRDefault="417F5A60" w:rsidP="33046627">
      <w:pPr>
        <w:rPr>
          <w:rFonts w:ascii="Calibri" w:eastAsia="Yu Mincho" w:hAnsi="Calibri" w:cs="Arial"/>
        </w:rPr>
      </w:pPr>
      <w:r w:rsidRPr="670DB8DD">
        <w:rPr>
          <w:rFonts w:ascii="Calibri" w:eastAsia="Yu Mincho" w:hAnsi="Calibri" w:cs="Arial"/>
        </w:rPr>
        <w:t xml:space="preserve">We suggest that the roading focus of the New Zealand Upgrade Programme is </w:t>
      </w:r>
      <w:r w:rsidR="4F20561F" w:rsidRPr="670DB8DD">
        <w:rPr>
          <w:rFonts w:ascii="Calibri" w:eastAsia="Yu Mincho" w:hAnsi="Calibri" w:cs="Arial"/>
        </w:rPr>
        <w:t>irres</w:t>
      </w:r>
      <w:r w:rsidR="0F03A709" w:rsidRPr="670DB8DD">
        <w:rPr>
          <w:rFonts w:ascii="Calibri" w:eastAsia="Yu Mincho" w:hAnsi="Calibri" w:cs="Arial"/>
        </w:rPr>
        <w:t>ponsible and indefensible.</w:t>
      </w:r>
      <w:r w:rsidR="4E2D3D9B" w:rsidRPr="670DB8DD">
        <w:rPr>
          <w:rFonts w:ascii="Calibri" w:eastAsia="Yu Mincho" w:hAnsi="Calibri" w:cs="Arial"/>
        </w:rPr>
        <w:t xml:space="preserve"> We further suggest that </w:t>
      </w:r>
      <w:r w:rsidR="54EF583B" w:rsidRPr="670DB8DD">
        <w:rPr>
          <w:rFonts w:ascii="Calibri" w:eastAsia="Yu Mincho" w:hAnsi="Calibri" w:cs="Arial"/>
        </w:rPr>
        <w:t xml:space="preserve">a drastic </w:t>
      </w:r>
      <w:r w:rsidR="4B704D14" w:rsidRPr="670DB8DD">
        <w:rPr>
          <w:rFonts w:ascii="Calibri" w:eastAsia="Yu Mincho" w:hAnsi="Calibri" w:cs="Arial"/>
        </w:rPr>
        <w:t xml:space="preserve">policy change </w:t>
      </w:r>
      <w:r w:rsidR="2F2F7585" w:rsidRPr="670DB8DD">
        <w:rPr>
          <w:rFonts w:ascii="Calibri" w:eastAsia="Yu Mincho" w:hAnsi="Calibri" w:cs="Arial"/>
        </w:rPr>
        <w:t xml:space="preserve">is necessary to </w:t>
      </w:r>
      <w:r w:rsidR="0EE02640" w:rsidRPr="670DB8DD">
        <w:rPr>
          <w:rFonts w:ascii="Calibri" w:eastAsia="Yu Mincho" w:hAnsi="Calibri" w:cs="Arial"/>
        </w:rPr>
        <w:t>deflate the housing market</w:t>
      </w:r>
      <w:r w:rsidR="59CED822" w:rsidRPr="670DB8DD">
        <w:rPr>
          <w:rFonts w:ascii="Calibri" w:eastAsia="Yu Mincho" w:hAnsi="Calibri" w:cs="Arial"/>
        </w:rPr>
        <w:t xml:space="preserve"> </w:t>
      </w:r>
      <w:r w:rsidR="7AC36CB6" w:rsidRPr="670DB8DD">
        <w:rPr>
          <w:rFonts w:ascii="Calibri" w:eastAsia="Yu Mincho" w:hAnsi="Calibri" w:cs="Arial"/>
        </w:rPr>
        <w:t xml:space="preserve">and cannot avoid but </w:t>
      </w:r>
      <w:r w:rsidR="6E3CC3A4" w:rsidRPr="670DB8DD">
        <w:rPr>
          <w:rFonts w:ascii="Calibri" w:eastAsia="Yu Mincho" w:hAnsi="Calibri" w:cs="Arial"/>
        </w:rPr>
        <w:t xml:space="preserve">draw attention to the fact </w:t>
      </w:r>
      <w:r w:rsidR="75A051CA" w:rsidRPr="670DB8DD">
        <w:rPr>
          <w:rFonts w:ascii="Calibri" w:eastAsia="Yu Mincho" w:hAnsi="Calibri" w:cs="Arial"/>
        </w:rPr>
        <w:t>hous</w:t>
      </w:r>
      <w:r w:rsidR="0EC35DCB" w:rsidRPr="670DB8DD">
        <w:rPr>
          <w:rFonts w:ascii="Calibri" w:eastAsia="Yu Mincho" w:hAnsi="Calibri" w:cs="Arial"/>
        </w:rPr>
        <w:t>e</w:t>
      </w:r>
      <w:r w:rsidR="75A051CA" w:rsidRPr="670DB8DD">
        <w:rPr>
          <w:rFonts w:ascii="Calibri" w:eastAsia="Yu Mincho" w:hAnsi="Calibri" w:cs="Arial"/>
        </w:rPr>
        <w:t xml:space="preserve"> price speculation is the only area of wealth creation in New Zealand that, in practical terms, </w:t>
      </w:r>
      <w:r w:rsidR="21662405" w:rsidRPr="670DB8DD">
        <w:rPr>
          <w:rFonts w:ascii="Calibri" w:eastAsia="Yu Mincho" w:hAnsi="Calibri" w:cs="Arial"/>
        </w:rPr>
        <w:t xml:space="preserve">is </w:t>
      </w:r>
      <w:r w:rsidR="75A051CA" w:rsidRPr="670DB8DD">
        <w:rPr>
          <w:rFonts w:ascii="Calibri" w:eastAsia="Yu Mincho" w:hAnsi="Calibri" w:cs="Arial"/>
        </w:rPr>
        <w:t xml:space="preserve">not subject to taxation. </w:t>
      </w:r>
      <w:r w:rsidR="46E3C714" w:rsidRPr="670DB8DD">
        <w:rPr>
          <w:rFonts w:ascii="Calibri" w:eastAsia="Yu Mincho" w:hAnsi="Calibri" w:cs="Arial"/>
        </w:rPr>
        <w:t>The only logical conclusion is to address the taxation anomaly</w:t>
      </w:r>
      <w:r w:rsidR="6FD3FE87" w:rsidRPr="670DB8DD">
        <w:rPr>
          <w:rFonts w:ascii="Calibri" w:eastAsia="Yu Mincho" w:hAnsi="Calibri" w:cs="Arial"/>
        </w:rPr>
        <w:t xml:space="preserve"> and that is an issue that goes well beyond the </w:t>
      </w:r>
      <w:r w:rsidR="46095BBF" w:rsidRPr="670DB8DD">
        <w:rPr>
          <w:rFonts w:ascii="Calibri" w:eastAsia="Yu Mincho" w:hAnsi="Calibri" w:cs="Arial"/>
        </w:rPr>
        <w:t xml:space="preserve">emissions </w:t>
      </w:r>
      <w:r w:rsidR="5589A940" w:rsidRPr="670DB8DD">
        <w:rPr>
          <w:rFonts w:ascii="Calibri" w:eastAsia="Yu Mincho" w:hAnsi="Calibri" w:cs="Arial"/>
        </w:rPr>
        <w:t>increases through increasing travel distances caused by the current situation.</w:t>
      </w:r>
      <w:r w:rsidR="0F03A709" w:rsidRPr="670DB8DD">
        <w:rPr>
          <w:rFonts w:ascii="Calibri" w:eastAsia="Yu Mincho" w:hAnsi="Calibri" w:cs="Arial"/>
        </w:rPr>
        <w:t xml:space="preserve"> </w:t>
      </w:r>
    </w:p>
    <w:p w14:paraId="44B23A5D" w14:textId="04964F93" w:rsidR="68E06D06" w:rsidRDefault="00EC63FE" w:rsidP="00EC63FE">
      <w:pPr>
        <w:rPr>
          <w:rFonts w:ascii="Calibri" w:hAnsi="Calibri"/>
        </w:rPr>
      </w:pPr>
      <w:r w:rsidRPr="2554D008">
        <w:rPr>
          <w:rFonts w:ascii="Calibri" w:hAnsi="Calibri"/>
        </w:rPr>
        <w:t>T</w:t>
      </w:r>
      <w:r w:rsidR="68E06D06" w:rsidRPr="2554D008">
        <w:rPr>
          <w:rFonts w:ascii="Calibri" w:hAnsi="Calibri"/>
        </w:rPr>
        <w:t>he</w:t>
      </w:r>
      <w:r w:rsidRPr="2554D008">
        <w:rPr>
          <w:rFonts w:ascii="Calibri" w:hAnsi="Calibri"/>
        </w:rPr>
        <w:t xml:space="preserve"> </w:t>
      </w:r>
      <w:r w:rsidR="68E06D06" w:rsidRPr="2554D008">
        <w:rPr>
          <w:rFonts w:ascii="Calibri" w:hAnsi="Calibri"/>
        </w:rPr>
        <w:t xml:space="preserve">frank laying out of facts related to transport emissions such as disproportionate growth is applicable here. </w:t>
      </w:r>
      <w:r w:rsidR="29238833" w:rsidRPr="2554D008">
        <w:rPr>
          <w:rFonts w:ascii="Calibri" w:hAnsi="Calibri"/>
        </w:rPr>
        <w:t>CCC mention</w:t>
      </w:r>
      <w:r w:rsidR="68E06D06" w:rsidRPr="2554D008">
        <w:rPr>
          <w:rFonts w:ascii="Calibri" w:hAnsi="Calibri"/>
        </w:rPr>
        <w:t xml:space="preserve"> ‘underinvestment’ and ‘inequality’</w:t>
      </w:r>
      <w:r w:rsidR="00C61EBF" w:rsidRPr="2554D008">
        <w:rPr>
          <w:rFonts w:ascii="Calibri" w:hAnsi="Calibri"/>
        </w:rPr>
        <w:t xml:space="preserve"> a</w:t>
      </w:r>
      <w:r w:rsidR="68E06D06" w:rsidRPr="2554D008">
        <w:rPr>
          <w:rFonts w:ascii="Calibri" w:hAnsi="Calibri"/>
        </w:rPr>
        <w:t xml:space="preserve"> few times</w:t>
      </w:r>
      <w:r w:rsidR="43F61A13" w:rsidRPr="2554D008">
        <w:rPr>
          <w:rFonts w:ascii="Calibri" w:hAnsi="Calibri"/>
        </w:rPr>
        <w:t>. Making transport equal and accessible (</w:t>
      </w:r>
      <w:r w:rsidR="540E130E" w:rsidRPr="2554D008">
        <w:rPr>
          <w:rFonts w:ascii="Calibri" w:hAnsi="Calibri"/>
        </w:rPr>
        <w:t>i.e.,</w:t>
      </w:r>
      <w:r w:rsidR="43F61A13" w:rsidRPr="2554D008">
        <w:rPr>
          <w:rFonts w:ascii="Calibri" w:hAnsi="Calibri"/>
        </w:rPr>
        <w:t xml:space="preserve"> providing public transport access) could be one of the solutions</w:t>
      </w:r>
      <w:r w:rsidR="40BBB254" w:rsidRPr="2554D008">
        <w:rPr>
          <w:rFonts w:ascii="Calibri" w:hAnsi="Calibri"/>
        </w:rPr>
        <w:t xml:space="preserve"> to achieve the climate agenda</w:t>
      </w:r>
      <w:r w:rsidR="43F61A13" w:rsidRPr="2554D008">
        <w:rPr>
          <w:rFonts w:ascii="Calibri" w:hAnsi="Calibri"/>
        </w:rPr>
        <w:t>, which would answer ine</w:t>
      </w:r>
      <w:r w:rsidR="740E1C09" w:rsidRPr="2554D008">
        <w:rPr>
          <w:rFonts w:ascii="Calibri" w:hAnsi="Calibri"/>
        </w:rPr>
        <w:t>quality issues</w:t>
      </w:r>
      <w:r w:rsidR="4B011B47" w:rsidRPr="2554D008">
        <w:rPr>
          <w:rFonts w:ascii="Calibri" w:hAnsi="Calibri"/>
        </w:rPr>
        <w:t xml:space="preserve"> as well</w:t>
      </w:r>
      <w:r w:rsidR="740E1C09" w:rsidRPr="2554D008">
        <w:rPr>
          <w:rFonts w:ascii="Calibri" w:hAnsi="Calibri"/>
        </w:rPr>
        <w:t xml:space="preserve">, but </w:t>
      </w:r>
      <w:r w:rsidR="5FA98948" w:rsidRPr="2554D008">
        <w:rPr>
          <w:rFonts w:ascii="Calibri" w:hAnsi="Calibri"/>
        </w:rPr>
        <w:t>it is achievable</w:t>
      </w:r>
      <w:r w:rsidR="740E1C09" w:rsidRPr="2554D008">
        <w:rPr>
          <w:rFonts w:ascii="Calibri" w:hAnsi="Calibri"/>
        </w:rPr>
        <w:t>.</w:t>
      </w:r>
      <w:r w:rsidR="00D708C9" w:rsidRPr="2554D008">
        <w:rPr>
          <w:rFonts w:ascii="Calibri" w:hAnsi="Calibri"/>
        </w:rPr>
        <w:t xml:space="preserve"> Cities such as Curitiba have shown that high quality PT is feasible in a very short investment period</w:t>
      </w:r>
      <w:r w:rsidR="00417780">
        <w:t xml:space="preserve"> </w:t>
      </w:r>
      <w:r w:rsidRPr="2554D008">
        <w:rPr>
          <w:rFonts w:ascii="Calibri" w:hAnsi="Calibri"/>
        </w:rPr>
        <w:fldChar w:fldCharType="begin"/>
      </w:r>
      <w:r w:rsidRPr="2554D008">
        <w:rPr>
          <w:rFonts w:ascii="Calibri" w:hAnsi="Calibri"/>
        </w:rPr>
        <w:instrText xml:space="preserve"> ADDIN EN.CITE &lt;EndNote&gt;&lt;Cite&gt;&lt;Author&gt;WRI&lt;/Author&gt;&lt;Year&gt;2010&lt;/Year&gt;&lt;RecNum&gt;892&lt;/RecNum&gt;&lt;DisplayText&gt;(WRI 2010)&lt;/DisplayText&gt;&lt;record&gt;&lt;rec-number&gt;892&lt;/rec-number&gt;&lt;foreign-keys&gt;&lt;key app="EN" db-id="sd2rx2xfxx9s25ed9ac5f9dbdtewee220ewx" timestamp="1585732838" guid="094871f5-5ce7-488c-91f9-fa16c453501e"&gt;892&lt;/key&gt;&lt;/foreign-keys&gt;&lt;ref-type name="Report"&gt;27&lt;/ref-type&gt;&lt;contributors&gt;&lt;authors&gt;&lt;author&gt;WRI&lt;/author&gt;&lt;/authors&gt;&lt;/contributors&gt;&lt;titles&gt;&lt;title&gt;Modernizing Public Transportation: Lessons learned from major bus improvements in Latin America and Asia&lt;/title&gt;&lt;/titles&gt;&lt;keywords&gt;&lt;keyword&gt;PT&lt;/keyword&gt;&lt;keyword&gt;BRT&lt;/keyword&gt;&lt;keyword&gt;Unread&lt;/keyword&gt;&lt;/keywords&gt;&lt;dates&gt;&lt;year&gt;2010&lt;/year&gt;&lt;/dates&gt;&lt;urls&gt;&lt;related-urls&gt;&lt;url&gt;http://pdf.wri.org/modernizing_public_transportation.pdf&lt;/url&gt;&lt;/related-urls&gt;&lt;/urls&gt;&lt;/record&gt;&lt;/Cite&gt;&lt;/EndNote&gt;</w:instrText>
      </w:r>
      <w:r w:rsidRPr="2554D008">
        <w:rPr>
          <w:rFonts w:ascii="Calibri" w:hAnsi="Calibri"/>
        </w:rPr>
        <w:fldChar w:fldCharType="separate"/>
      </w:r>
      <w:r w:rsidR="00417780" w:rsidRPr="2554D008">
        <w:rPr>
          <w:rFonts w:ascii="Calibri" w:hAnsi="Calibri"/>
          <w:noProof/>
        </w:rPr>
        <w:t>(WRI 2010)</w:t>
      </w:r>
      <w:r w:rsidRPr="2554D008">
        <w:rPr>
          <w:rFonts w:ascii="Calibri" w:hAnsi="Calibri"/>
        </w:rPr>
        <w:fldChar w:fldCharType="end"/>
      </w:r>
      <w:r w:rsidR="00417780" w:rsidRPr="2554D008">
        <w:rPr>
          <w:rFonts w:ascii="Calibri" w:hAnsi="Calibri"/>
        </w:rPr>
        <w:t>.</w:t>
      </w:r>
    </w:p>
    <w:p w14:paraId="16B9F2E5" w14:textId="754EB71E" w:rsidR="007667C4" w:rsidRDefault="00D950CB" w:rsidP="00D950CB">
      <w:pPr>
        <w:pStyle w:val="TG-RECOMMENDATION"/>
      </w:pPr>
      <w:r>
        <w:t>The required</w:t>
      </w:r>
      <w:r w:rsidR="007667C4">
        <w:t xml:space="preserve"> drastic policy change</w:t>
      </w:r>
      <w:r>
        <w:t>s</w:t>
      </w:r>
      <w:r w:rsidR="007667C4">
        <w:t xml:space="preserve"> can be formulated by having all contributing sectors (</w:t>
      </w:r>
      <w:proofErr w:type="gramStart"/>
      <w:r w:rsidR="007667C4">
        <w:t>e.g.</w:t>
      </w:r>
      <w:proofErr w:type="gramEnd"/>
      <w:r w:rsidR="007667C4">
        <w:t xml:space="preserve"> transport, urban planning, health, etc.) participate in a comprehensive workshop to discuss and set strategies for the issue. </w:t>
      </w:r>
    </w:p>
    <w:p w14:paraId="67D3FB5F" w14:textId="44B8822F" w:rsidR="00FC023F" w:rsidRPr="00FC023F" w:rsidRDefault="1EDF710B" w:rsidP="00E824E1">
      <w:pPr>
        <w:pStyle w:val="TG-RECOMMENDATION"/>
      </w:pPr>
      <w:r>
        <w:t>Independently</w:t>
      </w:r>
      <w:r w:rsidR="00FC023F">
        <w:t xml:space="preserve"> audit </w:t>
      </w:r>
      <w:r w:rsidR="00E824E1">
        <w:t>and recast recent spatial plans in light of the climate change targets</w:t>
      </w:r>
    </w:p>
    <w:p w14:paraId="356CA935" w14:textId="77777777" w:rsidR="00451DC2" w:rsidRDefault="00451DC2" w:rsidP="00451DC2">
      <w:pPr>
        <w:pStyle w:val="Heading1"/>
      </w:pPr>
      <w:bookmarkStart w:id="14" w:name="_Toc67752211"/>
      <w:r>
        <w:t>References</w:t>
      </w:r>
      <w:bookmarkEnd w:id="14"/>
    </w:p>
    <w:p w14:paraId="1087FD43" w14:textId="236169E1" w:rsidR="008A175F" w:rsidRDefault="00451DC2" w:rsidP="008A175F">
      <w:pPr>
        <w:pStyle w:val="EndNoteBibliography"/>
        <w:spacing w:after="240"/>
        <w:rPr>
          <w:noProof/>
        </w:rPr>
      </w:pPr>
      <w:r>
        <w:fldChar w:fldCharType="begin"/>
      </w:r>
      <w:r>
        <w:instrText xml:space="preserve"> ADDIN EN.REFLIST </w:instrText>
      </w:r>
      <w:r>
        <w:fldChar w:fldCharType="separate"/>
      </w:r>
      <w:r w:rsidR="008A175F" w:rsidRPr="008A175F">
        <w:rPr>
          <w:noProof/>
        </w:rPr>
        <w:t xml:space="preserve">Beca (2021). Research Report 674 Mode shift to micromobility. </w:t>
      </w:r>
      <w:hyperlink r:id="rId21" w:history="1">
        <w:r w:rsidR="008A175F" w:rsidRPr="008A175F">
          <w:rPr>
            <w:rStyle w:val="Hyperlink"/>
            <w:noProof/>
          </w:rPr>
          <w:t>https://www.nzta.govt.nz/resources/research/reports/674/</w:t>
        </w:r>
      </w:hyperlink>
      <w:r w:rsidR="008A175F" w:rsidRPr="008A175F">
        <w:rPr>
          <w:noProof/>
        </w:rPr>
        <w:t>.</w:t>
      </w:r>
    </w:p>
    <w:p w14:paraId="6B27ABC9" w14:textId="6B648969" w:rsidR="00B10154" w:rsidRDefault="00B10154" w:rsidP="008A175F">
      <w:pPr>
        <w:pStyle w:val="EndNoteBibliography"/>
        <w:spacing w:after="240"/>
        <w:rPr>
          <w:noProof/>
        </w:rPr>
      </w:pPr>
      <w:r>
        <w:rPr>
          <w:noProof/>
        </w:rPr>
        <w:t xml:space="preserve">Burdett (2018). Transport, Participation and Wellbeing: Evidence and Recommendations. </w:t>
      </w:r>
      <w:r w:rsidRPr="00B10154">
        <w:rPr>
          <w:noProof/>
        </w:rPr>
        <w:t>https://www.waikatoregion.govt.nz/services/publications/tr201818/</w:t>
      </w:r>
    </w:p>
    <w:p w14:paraId="27DAB22F" w14:textId="67C736BD" w:rsidR="008A175F" w:rsidRPr="008A175F" w:rsidRDefault="008A175F" w:rsidP="008A175F">
      <w:pPr>
        <w:pStyle w:val="EndNoteBibliography"/>
        <w:spacing w:after="240"/>
        <w:rPr>
          <w:noProof/>
        </w:rPr>
      </w:pPr>
      <w:r w:rsidRPr="008A175F">
        <w:rPr>
          <w:noProof/>
        </w:rPr>
        <w:lastRenderedPageBreak/>
        <w:t xml:space="preserve">Environment Canterbury. (2020). "Environment Canterbury accelerates move to new, low emission buses." from </w:t>
      </w:r>
      <w:hyperlink r:id="rId22" w:history="1">
        <w:r w:rsidRPr="008A175F">
          <w:rPr>
            <w:rStyle w:val="Hyperlink"/>
            <w:noProof/>
          </w:rPr>
          <w:t>https://www.ecan.govt.nz/get-involved/news-and-events/2020/environment-canterbury-accelerates-move-to-new-low-emission-buses/</w:t>
        </w:r>
      </w:hyperlink>
      <w:r w:rsidRPr="008A175F">
        <w:rPr>
          <w:noProof/>
        </w:rPr>
        <w:t>.</w:t>
      </w:r>
    </w:p>
    <w:p w14:paraId="528F0257" w14:textId="77777777" w:rsidR="008A175F" w:rsidRPr="008A175F" w:rsidRDefault="008A175F" w:rsidP="008A175F">
      <w:pPr>
        <w:pStyle w:val="EndNoteBibliography"/>
        <w:spacing w:after="240"/>
        <w:rPr>
          <w:noProof/>
        </w:rPr>
      </w:pPr>
      <w:r w:rsidRPr="008A175F">
        <w:rPr>
          <w:noProof/>
        </w:rPr>
        <w:t xml:space="preserve">Gao, Z., D. E. Smith, C. Stuart Daw, K. Dean Edwards, B. C. Kaul, N. Domingo, J. E. Parks and P. T. Jones (2015). "The evaluation of developing vehicle technologies on the fuel economy of long-haul trucks." </w:t>
      </w:r>
      <w:r w:rsidRPr="008A175F">
        <w:rPr>
          <w:noProof/>
          <w:u w:val="single"/>
        </w:rPr>
        <w:t>Energy Conversion and Management</w:t>
      </w:r>
      <w:r w:rsidRPr="008A175F">
        <w:rPr>
          <w:noProof/>
        </w:rPr>
        <w:t xml:space="preserve"> </w:t>
      </w:r>
      <w:r w:rsidRPr="008A175F">
        <w:rPr>
          <w:b/>
          <w:noProof/>
        </w:rPr>
        <w:t>106</w:t>
      </w:r>
      <w:r w:rsidRPr="008A175F">
        <w:rPr>
          <w:noProof/>
        </w:rPr>
        <w:t>: 766-781.</w:t>
      </w:r>
    </w:p>
    <w:p w14:paraId="1C896EFB" w14:textId="77777777" w:rsidR="008A175F" w:rsidRPr="008A175F" w:rsidRDefault="008A175F" w:rsidP="008A175F">
      <w:pPr>
        <w:pStyle w:val="EndNoteBibliography"/>
        <w:spacing w:after="240"/>
        <w:rPr>
          <w:noProof/>
        </w:rPr>
      </w:pPr>
      <w:r w:rsidRPr="008A175F">
        <w:rPr>
          <w:noProof/>
        </w:rPr>
        <w:t xml:space="preserve">Hill, J. (2009). Environmental Costs and Benefits of Transportation Biofuel Production from Food-and Lignocellulose-Based Energy Crops: A Review. </w:t>
      </w:r>
      <w:r w:rsidRPr="008A175F">
        <w:rPr>
          <w:noProof/>
          <w:u w:val="single"/>
        </w:rPr>
        <w:t>Sustainable Agriculture</w:t>
      </w:r>
      <w:r w:rsidRPr="008A175F">
        <w:rPr>
          <w:noProof/>
        </w:rPr>
        <w:t>. E. Lichtfouse, M. Navarrete, P. Debaeke, S. Véronique and C. Alberola. Dordrecht, Springer Netherlands</w:t>
      </w:r>
      <w:r w:rsidRPr="008A175F">
        <w:rPr>
          <w:b/>
          <w:noProof/>
        </w:rPr>
        <w:t xml:space="preserve">: </w:t>
      </w:r>
      <w:r w:rsidRPr="008A175F">
        <w:rPr>
          <w:noProof/>
        </w:rPr>
        <w:t>125-139.</w:t>
      </w:r>
    </w:p>
    <w:p w14:paraId="05382F7D" w14:textId="77777777" w:rsidR="008A175F" w:rsidRPr="008A175F" w:rsidRDefault="008A175F" w:rsidP="008A175F">
      <w:pPr>
        <w:pStyle w:val="EndNoteBibliography"/>
        <w:spacing w:after="240"/>
        <w:rPr>
          <w:noProof/>
        </w:rPr>
      </w:pPr>
      <w:r w:rsidRPr="008A175F">
        <w:rPr>
          <w:noProof/>
        </w:rPr>
        <w:t xml:space="preserve">Hossain, A. K. M. N. and A. Serletis (2020). "Biofuel substitution in the U.S. transportation sector." </w:t>
      </w:r>
      <w:r w:rsidRPr="008A175F">
        <w:rPr>
          <w:noProof/>
          <w:u w:val="single"/>
        </w:rPr>
        <w:t>The Journal of Economic Asymmetries</w:t>
      </w:r>
      <w:r w:rsidRPr="008A175F">
        <w:rPr>
          <w:noProof/>
        </w:rPr>
        <w:t xml:space="preserve"> </w:t>
      </w:r>
      <w:r w:rsidRPr="008A175F">
        <w:rPr>
          <w:b/>
          <w:noProof/>
        </w:rPr>
        <w:t>22</w:t>
      </w:r>
      <w:r w:rsidRPr="008A175F">
        <w:rPr>
          <w:noProof/>
        </w:rPr>
        <w:t>: e00161.</w:t>
      </w:r>
    </w:p>
    <w:p w14:paraId="46392211" w14:textId="77777777" w:rsidR="008A175F" w:rsidRPr="008A175F" w:rsidRDefault="008A175F" w:rsidP="008A175F">
      <w:pPr>
        <w:pStyle w:val="EndNoteBibliography"/>
        <w:spacing w:after="240"/>
        <w:rPr>
          <w:noProof/>
        </w:rPr>
      </w:pPr>
      <w:r w:rsidRPr="008A175F">
        <w:rPr>
          <w:noProof/>
        </w:rPr>
        <w:t xml:space="preserve">Jupesta, J. (2010). "Impact of the Introduction of Biofuel in the Transportation Sector in Indonesia." </w:t>
      </w:r>
      <w:r w:rsidRPr="008A175F">
        <w:rPr>
          <w:noProof/>
          <w:u w:val="single"/>
        </w:rPr>
        <w:t>Sustainability</w:t>
      </w:r>
      <w:r w:rsidRPr="008A175F">
        <w:rPr>
          <w:noProof/>
        </w:rPr>
        <w:t xml:space="preserve"> </w:t>
      </w:r>
      <w:r w:rsidRPr="008A175F">
        <w:rPr>
          <w:b/>
          <w:noProof/>
        </w:rPr>
        <w:t>2</w:t>
      </w:r>
      <w:r w:rsidRPr="008A175F">
        <w:rPr>
          <w:noProof/>
        </w:rPr>
        <w:t>(6).</w:t>
      </w:r>
    </w:p>
    <w:p w14:paraId="74F1BABA" w14:textId="77777777" w:rsidR="008A175F" w:rsidRPr="008A175F" w:rsidRDefault="008A175F" w:rsidP="008A175F">
      <w:pPr>
        <w:pStyle w:val="EndNoteBibliography"/>
        <w:spacing w:after="240"/>
        <w:rPr>
          <w:noProof/>
        </w:rPr>
      </w:pPr>
      <w:r w:rsidRPr="008A175F">
        <w:rPr>
          <w:noProof/>
        </w:rPr>
        <w:t xml:space="preserve">Lahnaoui, A., C. Wulf, H. Heinrichs and D. Dalmazzone (2019). "Optimizing hydrogen transportation system for mobility via compressed hydrogen trucks." </w:t>
      </w:r>
      <w:r w:rsidRPr="008A175F">
        <w:rPr>
          <w:noProof/>
          <w:u w:val="single"/>
        </w:rPr>
        <w:t>International Journal of Hydrogen Energy</w:t>
      </w:r>
      <w:r w:rsidRPr="008A175F">
        <w:rPr>
          <w:noProof/>
        </w:rPr>
        <w:t xml:space="preserve"> </w:t>
      </w:r>
      <w:r w:rsidRPr="008A175F">
        <w:rPr>
          <w:b/>
          <w:noProof/>
        </w:rPr>
        <w:t>44</w:t>
      </w:r>
      <w:r w:rsidRPr="008A175F">
        <w:rPr>
          <w:noProof/>
        </w:rPr>
        <w:t>(35): 19302-19312.</w:t>
      </w:r>
    </w:p>
    <w:p w14:paraId="4E54CBB1" w14:textId="77777777" w:rsidR="008A175F" w:rsidRPr="008A175F" w:rsidRDefault="008A175F" w:rsidP="008A175F">
      <w:pPr>
        <w:pStyle w:val="EndNoteBibliography"/>
        <w:spacing w:after="240"/>
        <w:rPr>
          <w:noProof/>
        </w:rPr>
      </w:pPr>
      <w:r w:rsidRPr="008A175F">
        <w:rPr>
          <w:noProof/>
        </w:rPr>
        <w:t xml:space="preserve">Lee, D.-Y., A. Elgowainy, A. Kotz, R. Vijayagopal and J. Marcinkoski (2018). "Life-cycle implications of hydrogen fuel cell electric vehicle technology for medium- and heavy-duty trucks." </w:t>
      </w:r>
      <w:r w:rsidRPr="008A175F">
        <w:rPr>
          <w:noProof/>
          <w:u w:val="single"/>
        </w:rPr>
        <w:t>Journal of Power Sources</w:t>
      </w:r>
      <w:r w:rsidRPr="008A175F">
        <w:rPr>
          <w:noProof/>
        </w:rPr>
        <w:t xml:space="preserve"> </w:t>
      </w:r>
      <w:r w:rsidRPr="008A175F">
        <w:rPr>
          <w:b/>
          <w:noProof/>
        </w:rPr>
        <w:t>393</w:t>
      </w:r>
      <w:r w:rsidRPr="008A175F">
        <w:rPr>
          <w:noProof/>
        </w:rPr>
        <w:t>: 217-229.</w:t>
      </w:r>
    </w:p>
    <w:p w14:paraId="622C0190" w14:textId="77777777" w:rsidR="008A175F" w:rsidRPr="008A175F" w:rsidRDefault="008A175F" w:rsidP="008A175F">
      <w:pPr>
        <w:pStyle w:val="EndNoteBibliography"/>
        <w:spacing w:after="240"/>
        <w:rPr>
          <w:noProof/>
        </w:rPr>
      </w:pPr>
      <w:r w:rsidRPr="008A175F">
        <w:rPr>
          <w:noProof/>
        </w:rPr>
        <w:t xml:space="preserve">McLaren, D. and J. Agyeman (2015). </w:t>
      </w:r>
      <w:r w:rsidRPr="008A175F">
        <w:rPr>
          <w:noProof/>
          <w:u w:val="single"/>
        </w:rPr>
        <w:t>Sharing cities: A case for truly smart and sustainable cities</w:t>
      </w:r>
      <w:r w:rsidRPr="008A175F">
        <w:rPr>
          <w:noProof/>
        </w:rPr>
        <w:t>, MIT Press.</w:t>
      </w:r>
    </w:p>
    <w:p w14:paraId="34B98917" w14:textId="608BD955" w:rsidR="008A175F" w:rsidRPr="008A175F" w:rsidRDefault="008A175F" w:rsidP="008A175F">
      <w:pPr>
        <w:pStyle w:val="EndNoteBibliography"/>
        <w:spacing w:after="240"/>
        <w:rPr>
          <w:noProof/>
        </w:rPr>
      </w:pPr>
      <w:r w:rsidRPr="008A175F">
        <w:rPr>
          <w:noProof/>
        </w:rPr>
        <w:t xml:space="preserve">Ministry for the Environment (2018). Reducing barriers to Electric Vehicle uptake: Behavioural insights analysis and review. Wellington. </w:t>
      </w:r>
      <w:hyperlink r:id="rId23" w:history="1">
        <w:r w:rsidRPr="008A175F">
          <w:rPr>
            <w:rStyle w:val="Hyperlink"/>
            <w:noProof/>
          </w:rPr>
          <w:t>https://www.iccc.mfe.govt.nz/assets/PDF_Library/ad42c96b5f/MfE-Reducing-Barriers-to-Electric-Vehicle-Uptake.pdf</w:t>
        </w:r>
      </w:hyperlink>
      <w:r w:rsidRPr="008A175F">
        <w:rPr>
          <w:noProof/>
        </w:rPr>
        <w:t>.</w:t>
      </w:r>
    </w:p>
    <w:p w14:paraId="46E527FB" w14:textId="701D8890" w:rsidR="008A175F" w:rsidRPr="008A175F" w:rsidRDefault="008A175F" w:rsidP="008A175F">
      <w:pPr>
        <w:pStyle w:val="EndNoteBibliography"/>
        <w:spacing w:after="240"/>
        <w:rPr>
          <w:noProof/>
        </w:rPr>
      </w:pPr>
      <w:r w:rsidRPr="008A175F">
        <w:rPr>
          <w:noProof/>
        </w:rPr>
        <w:t xml:space="preserve">Simic, A., R. Bartels and Frontier Economics (2013). Research report 534 Drivers of demand for transport. </w:t>
      </w:r>
      <w:hyperlink r:id="rId24" w:history="1">
        <w:r w:rsidRPr="008A175F">
          <w:rPr>
            <w:rStyle w:val="Hyperlink"/>
            <w:noProof/>
          </w:rPr>
          <w:t>https://www.nzta.govt.nz/assets/resources/research/reports/534/docs/534.pdf</w:t>
        </w:r>
      </w:hyperlink>
      <w:r w:rsidRPr="008A175F">
        <w:rPr>
          <w:noProof/>
        </w:rPr>
        <w:t>.</w:t>
      </w:r>
    </w:p>
    <w:p w14:paraId="38D6AAA4" w14:textId="380CF1BA" w:rsidR="008A175F" w:rsidRPr="008A175F" w:rsidRDefault="008A175F" w:rsidP="008A175F">
      <w:pPr>
        <w:pStyle w:val="EndNoteBibliography"/>
        <w:spacing w:after="240"/>
        <w:rPr>
          <w:noProof/>
        </w:rPr>
      </w:pPr>
      <w:r w:rsidRPr="008A175F">
        <w:rPr>
          <w:noProof/>
        </w:rPr>
        <w:t xml:space="preserve">ViaStrada (2017). Research Report 621 Regulations and safety for electric bicycles and other low-powered vehicles. </w:t>
      </w:r>
      <w:hyperlink r:id="rId25" w:history="1">
        <w:r w:rsidRPr="008A175F">
          <w:rPr>
            <w:rStyle w:val="Hyperlink"/>
            <w:noProof/>
          </w:rPr>
          <w:t>https://www.nzta.govt.nz/resources/research/reports/621/</w:t>
        </w:r>
      </w:hyperlink>
      <w:r w:rsidRPr="008A175F">
        <w:rPr>
          <w:noProof/>
        </w:rPr>
        <w:t>.</w:t>
      </w:r>
    </w:p>
    <w:p w14:paraId="78F0C208" w14:textId="63A23852" w:rsidR="008A175F" w:rsidRPr="008A175F" w:rsidRDefault="008A175F" w:rsidP="008A175F">
      <w:pPr>
        <w:pStyle w:val="EndNoteBibliography"/>
        <w:rPr>
          <w:noProof/>
        </w:rPr>
      </w:pPr>
      <w:r w:rsidRPr="008A175F">
        <w:rPr>
          <w:noProof/>
        </w:rPr>
        <w:t xml:space="preserve">WRI (2010). Modernizing Public Transportation: Lessons learned from major bus improvements in Latin America and Asia. </w:t>
      </w:r>
      <w:hyperlink r:id="rId26" w:history="1">
        <w:r w:rsidRPr="008A175F">
          <w:rPr>
            <w:rStyle w:val="Hyperlink"/>
            <w:noProof/>
          </w:rPr>
          <w:t>http://pdf.wri.org/modernizing_public_transportation.pdf</w:t>
        </w:r>
      </w:hyperlink>
      <w:r w:rsidRPr="008A175F">
        <w:rPr>
          <w:noProof/>
        </w:rPr>
        <w:t>.</w:t>
      </w:r>
    </w:p>
    <w:p w14:paraId="1F378040" w14:textId="1E5D3617" w:rsidR="000D12D3" w:rsidRPr="00451DC2" w:rsidRDefault="00451DC2" w:rsidP="00451DC2">
      <w:r>
        <w:fldChar w:fldCharType="end"/>
      </w:r>
    </w:p>
    <w:sectPr w:rsidR="000D12D3" w:rsidRPr="00451DC2" w:rsidSect="00451DC2">
      <w:headerReference w:type="default" r:id="rId27"/>
      <w:footerReference w:type="even" r:id="rId28"/>
      <w:footerReference w:type="default" r:id="rId29"/>
      <w:headerReference w:type="first" r:id="rId30"/>
      <w:pgSz w:w="11906" w:h="16838"/>
      <w:pgMar w:top="1134" w:right="11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BD78" w14:textId="77777777" w:rsidR="00391D6D" w:rsidRDefault="00391D6D" w:rsidP="000B50C0">
      <w:r>
        <w:separator/>
      </w:r>
    </w:p>
  </w:endnote>
  <w:endnote w:type="continuationSeparator" w:id="0">
    <w:p w14:paraId="1E385A12" w14:textId="77777777" w:rsidR="00391D6D" w:rsidRDefault="00391D6D" w:rsidP="000B50C0">
      <w:r>
        <w:continuationSeparator/>
      </w:r>
    </w:p>
  </w:endnote>
  <w:endnote w:type="continuationNotice" w:id="1">
    <w:p w14:paraId="3717B97C" w14:textId="77777777" w:rsidR="00391D6D" w:rsidRDefault="00391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346586"/>
      <w:docPartObj>
        <w:docPartGallery w:val="Page Numbers (Bottom of Page)"/>
        <w:docPartUnique/>
      </w:docPartObj>
    </w:sdtPr>
    <w:sdtEndPr>
      <w:rPr>
        <w:rStyle w:val="PageNumber"/>
      </w:rPr>
    </w:sdtEndPr>
    <w:sdtContent>
      <w:p w14:paraId="29FBBBDF" w14:textId="2DC903DE" w:rsidR="00451DC2" w:rsidRDefault="00451DC2" w:rsidP="008241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048B16" w14:textId="77777777" w:rsidR="00451DC2" w:rsidRDefault="0045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38646"/>
      <w:docPartObj>
        <w:docPartGallery w:val="Page Numbers (Bottom of Page)"/>
        <w:docPartUnique/>
      </w:docPartObj>
    </w:sdtPr>
    <w:sdtEndPr>
      <w:rPr>
        <w:rStyle w:val="PageNumber"/>
      </w:rPr>
    </w:sdtEndPr>
    <w:sdtContent>
      <w:p w14:paraId="3C6E59AD" w14:textId="3347E475" w:rsidR="00451DC2" w:rsidRDefault="00451DC2" w:rsidP="008241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6836CA" w14:textId="77777777" w:rsidR="0065406D" w:rsidRPr="0065406D" w:rsidRDefault="0065406D" w:rsidP="008E443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CDE5" w14:textId="77777777" w:rsidR="00391D6D" w:rsidRDefault="00391D6D" w:rsidP="000B50C0">
      <w:r>
        <w:separator/>
      </w:r>
    </w:p>
  </w:footnote>
  <w:footnote w:type="continuationSeparator" w:id="0">
    <w:p w14:paraId="102D2FF9" w14:textId="77777777" w:rsidR="00391D6D" w:rsidRDefault="00391D6D" w:rsidP="000B50C0">
      <w:r>
        <w:continuationSeparator/>
      </w:r>
    </w:p>
  </w:footnote>
  <w:footnote w:type="continuationNotice" w:id="1">
    <w:p w14:paraId="0A76266E" w14:textId="77777777" w:rsidR="00391D6D" w:rsidRDefault="00391D6D"/>
  </w:footnote>
  <w:footnote w:id="2">
    <w:p w14:paraId="27DE2FB1" w14:textId="3DACA3F0" w:rsidR="008E415C" w:rsidRPr="00F40CC8" w:rsidRDefault="00F40CC8">
      <w:pPr>
        <w:pStyle w:val="FootnoteText"/>
        <w:rPr>
          <w:lang w:val="en-AU"/>
        </w:rPr>
      </w:pPr>
      <w:r>
        <w:rPr>
          <w:rStyle w:val="FootnoteReference"/>
        </w:rPr>
        <w:footnoteRef/>
      </w:r>
      <w:r>
        <w:t xml:space="preserve"> </w:t>
      </w:r>
      <w:hyperlink r:id="rId1" w:history="1">
        <w:r w:rsidR="008E415C" w:rsidRPr="00544868">
          <w:rPr>
            <w:rStyle w:val="Hyperlink"/>
          </w:rPr>
          <w:t>https://theconversation.com/climate-explained-the-environmental-footprint-of-electric-versus-fossil-cars-124762</w:t>
        </w:r>
      </w:hyperlink>
    </w:p>
  </w:footnote>
  <w:footnote w:id="3">
    <w:p w14:paraId="77E02399" w14:textId="48520B22" w:rsidR="008E415C" w:rsidRDefault="008E415C">
      <w:pPr>
        <w:pStyle w:val="FootnoteText"/>
      </w:pPr>
      <w:r>
        <w:rPr>
          <w:rStyle w:val="FootnoteReference"/>
        </w:rPr>
        <w:footnoteRef/>
      </w:r>
      <w:r>
        <w:t xml:space="preserve"> </w:t>
      </w:r>
      <w:hyperlink r:id="rId2" w:history="1">
        <w:r w:rsidRPr="00544868">
          <w:rPr>
            <w:rStyle w:val="Hyperlink"/>
          </w:rPr>
          <w:t>https://www.cnu.org/publicsquare/2021/02/19/we-need-both-evs-and-15-minute-city</w:t>
        </w:r>
      </w:hyperlink>
    </w:p>
    <w:p w14:paraId="65A2D769" w14:textId="77777777" w:rsidR="008E415C" w:rsidRPr="008E415C" w:rsidRDefault="008E415C">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0A4B" w14:textId="0316F1FF" w:rsidR="00FD01D7" w:rsidRDefault="00451DC2" w:rsidP="001B61C0">
    <w:pPr>
      <w:pStyle w:val="Header"/>
      <w:tabs>
        <w:tab w:val="clear" w:pos="4513"/>
        <w:tab w:val="clear" w:pos="9026"/>
        <w:tab w:val="left" w:pos="5536"/>
      </w:tabs>
      <w:spacing w:after="120"/>
      <w:rPr>
        <w:sz w:val="21"/>
        <w:szCs w:val="21"/>
        <w:lang w:val="en-US"/>
      </w:rPr>
    </w:pPr>
    <w:r w:rsidRPr="00451DC2">
      <w:rPr>
        <w:sz w:val="21"/>
        <w:szCs w:val="21"/>
        <w:lang w:val="en-US"/>
      </w:rPr>
      <w:t>Transportation Group submission on the Climate Change Commission advice to Government – February 2021</w:t>
    </w:r>
  </w:p>
  <w:p w14:paraId="224E68BA" w14:textId="77777777" w:rsidR="006610F6" w:rsidRPr="00451DC2" w:rsidRDefault="006610F6" w:rsidP="001B61C0">
    <w:pPr>
      <w:pStyle w:val="Header"/>
      <w:tabs>
        <w:tab w:val="clear" w:pos="4513"/>
        <w:tab w:val="clear" w:pos="9026"/>
        <w:tab w:val="left" w:pos="5536"/>
      </w:tabs>
      <w:spacing w:after="120"/>
      <w:rPr>
        <w:sz w:val="21"/>
        <w:szCs w:val="21"/>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F6C8" w14:textId="7B61ED31" w:rsidR="00F1779A" w:rsidRDefault="234D1892" w:rsidP="00F05F2A">
    <w:pPr>
      <w:pStyle w:val="Header"/>
      <w:jc w:val="center"/>
    </w:pPr>
    <w:r>
      <w:rPr>
        <w:noProof/>
      </w:rPr>
      <w:drawing>
        <wp:inline distT="0" distB="0" distL="0" distR="0" wp14:anchorId="76D558CC" wp14:editId="4EFACE7A">
          <wp:extent cx="2800047" cy="80982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00047" cy="809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666"/>
    <w:multiLevelType w:val="multilevel"/>
    <w:tmpl w:val="1D105220"/>
    <w:lvl w:ilvl="0">
      <w:start w:val="1"/>
      <w:numFmt w:val="decimal"/>
      <w:pStyle w:val="Heading1"/>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 w15:restartNumberingAfterBreak="0">
    <w:nsid w:val="31BC27B8"/>
    <w:multiLevelType w:val="hybridMultilevel"/>
    <w:tmpl w:val="08809634"/>
    <w:lvl w:ilvl="0" w:tplc="AD204BBC">
      <w:start w:val="1"/>
      <w:numFmt w:val="lowerLetter"/>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1D0D56"/>
    <w:multiLevelType w:val="hybridMultilevel"/>
    <w:tmpl w:val="4334B16A"/>
    <w:lvl w:ilvl="0" w:tplc="E43EBC82">
      <w:start w:val="1"/>
      <w:numFmt w:val="lowerLetter"/>
      <w:lvlText w:val="%1."/>
      <w:lvlJc w:val="left"/>
      <w:pPr>
        <w:ind w:left="720" w:hanging="360"/>
      </w:pPr>
      <w:rPr>
        <w:rFonts w:asciiTheme="minorHAnsi" w:eastAsiaTheme="minorHAnsi" w:hAnsiTheme="minorHAnsi" w:cstheme="minorBidi" w:hint="default"/>
        <w:b/>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CF39CC"/>
    <w:multiLevelType w:val="hybridMultilevel"/>
    <w:tmpl w:val="08809634"/>
    <w:lvl w:ilvl="0" w:tplc="AD204BBC">
      <w:start w:val="1"/>
      <w:numFmt w:val="lowerLetter"/>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A264DE"/>
    <w:multiLevelType w:val="hybridMultilevel"/>
    <w:tmpl w:val="D3A28388"/>
    <w:lvl w:ilvl="0" w:tplc="86A008B8">
      <w:start w:val="1"/>
      <w:numFmt w:val="bullet"/>
      <w:lvlText w:val=""/>
      <w:lvlJc w:val="left"/>
      <w:pPr>
        <w:ind w:left="720" w:hanging="360"/>
      </w:pPr>
      <w:rPr>
        <w:rFonts w:ascii="Symbol" w:hAnsi="Symbol" w:hint="default"/>
      </w:rPr>
    </w:lvl>
    <w:lvl w:ilvl="1" w:tplc="D9A8ABDA">
      <w:start w:val="1"/>
      <w:numFmt w:val="bullet"/>
      <w:lvlText w:val="o"/>
      <w:lvlJc w:val="left"/>
      <w:pPr>
        <w:ind w:left="1440" w:hanging="360"/>
      </w:pPr>
      <w:rPr>
        <w:rFonts w:ascii="Courier New" w:hAnsi="Courier New" w:hint="default"/>
      </w:rPr>
    </w:lvl>
    <w:lvl w:ilvl="2" w:tplc="4AF294E0">
      <w:start w:val="1"/>
      <w:numFmt w:val="bullet"/>
      <w:lvlText w:val=""/>
      <w:lvlJc w:val="left"/>
      <w:pPr>
        <w:ind w:left="2160" w:hanging="360"/>
      </w:pPr>
      <w:rPr>
        <w:rFonts w:ascii="Wingdings" w:hAnsi="Wingdings" w:hint="default"/>
      </w:rPr>
    </w:lvl>
    <w:lvl w:ilvl="3" w:tplc="E76A59F8">
      <w:start w:val="1"/>
      <w:numFmt w:val="bullet"/>
      <w:lvlText w:val=""/>
      <w:lvlJc w:val="left"/>
      <w:pPr>
        <w:ind w:left="2880" w:hanging="360"/>
      </w:pPr>
      <w:rPr>
        <w:rFonts w:ascii="Symbol" w:hAnsi="Symbol" w:hint="default"/>
      </w:rPr>
    </w:lvl>
    <w:lvl w:ilvl="4" w:tplc="E79CF12A">
      <w:start w:val="1"/>
      <w:numFmt w:val="bullet"/>
      <w:lvlText w:val="o"/>
      <w:lvlJc w:val="left"/>
      <w:pPr>
        <w:ind w:left="3600" w:hanging="360"/>
      </w:pPr>
      <w:rPr>
        <w:rFonts w:ascii="Courier New" w:hAnsi="Courier New" w:hint="default"/>
      </w:rPr>
    </w:lvl>
    <w:lvl w:ilvl="5" w:tplc="6EF648B0">
      <w:start w:val="1"/>
      <w:numFmt w:val="bullet"/>
      <w:lvlText w:val=""/>
      <w:lvlJc w:val="left"/>
      <w:pPr>
        <w:ind w:left="4320" w:hanging="360"/>
      </w:pPr>
      <w:rPr>
        <w:rFonts w:ascii="Wingdings" w:hAnsi="Wingdings" w:hint="default"/>
      </w:rPr>
    </w:lvl>
    <w:lvl w:ilvl="6" w:tplc="F8405C32">
      <w:start w:val="1"/>
      <w:numFmt w:val="bullet"/>
      <w:lvlText w:val=""/>
      <w:lvlJc w:val="left"/>
      <w:pPr>
        <w:ind w:left="5040" w:hanging="360"/>
      </w:pPr>
      <w:rPr>
        <w:rFonts w:ascii="Symbol" w:hAnsi="Symbol" w:hint="default"/>
      </w:rPr>
    </w:lvl>
    <w:lvl w:ilvl="7" w:tplc="7A462BB4">
      <w:start w:val="1"/>
      <w:numFmt w:val="bullet"/>
      <w:lvlText w:val="o"/>
      <w:lvlJc w:val="left"/>
      <w:pPr>
        <w:ind w:left="5760" w:hanging="360"/>
      </w:pPr>
      <w:rPr>
        <w:rFonts w:ascii="Courier New" w:hAnsi="Courier New" w:hint="default"/>
      </w:rPr>
    </w:lvl>
    <w:lvl w:ilvl="8" w:tplc="0CCA1A7A">
      <w:start w:val="1"/>
      <w:numFmt w:val="bullet"/>
      <w:lvlText w:val=""/>
      <w:lvlJc w:val="left"/>
      <w:pPr>
        <w:ind w:left="6480" w:hanging="360"/>
      </w:pPr>
      <w:rPr>
        <w:rFonts w:ascii="Wingdings" w:hAnsi="Wingdings" w:hint="default"/>
      </w:rPr>
    </w:lvl>
  </w:abstractNum>
  <w:abstractNum w:abstractNumId="6" w15:restartNumberingAfterBreak="0">
    <w:nsid w:val="621809FC"/>
    <w:multiLevelType w:val="hybridMultilevel"/>
    <w:tmpl w:val="53F41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01582C"/>
    <w:multiLevelType w:val="multilevel"/>
    <w:tmpl w:val="95B4815E"/>
    <w:lvl w:ilvl="0">
      <w:start w:val="1"/>
      <w:numFmt w:val="upperLetter"/>
      <w:pStyle w:val="Heading6"/>
      <w:lvlText w:val="Appendix %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7"/>
      <w:lvlText w:val="%1.%2"/>
      <w:lvlJc w:val="left"/>
      <w:pPr>
        <w:ind w:left="357" w:hanging="357"/>
      </w:pPr>
      <w:rPr>
        <w:rFonts w:hint="default"/>
        <w:b/>
        <w:i w:val="0"/>
      </w:rPr>
    </w:lvl>
    <w:lvl w:ilvl="2">
      <w:start w:val="1"/>
      <w:numFmt w:val="decimal"/>
      <w:pStyle w:val="Heading8"/>
      <w:lvlText w:val="%1.%2.%3"/>
      <w:lvlJc w:val="left"/>
      <w:pPr>
        <w:ind w:left="357" w:hanging="357"/>
      </w:pPr>
      <w:rPr>
        <w:rFonts w:hint="default"/>
        <w:b/>
        <w:i w:val="0"/>
      </w:rPr>
    </w:lvl>
    <w:lvl w:ilvl="3">
      <w:start w:val="1"/>
      <w:numFmt w:val="none"/>
      <w:pStyle w:val="Heading9"/>
      <w:lvlText w:val=""/>
      <w:lvlJc w:val="left"/>
      <w:pPr>
        <w:ind w:left="357" w:hanging="357"/>
      </w:pPr>
      <w:rPr>
        <w:rFonts w:hint="default"/>
        <w:b/>
        <w:i w:val="0"/>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64BB2D12"/>
    <w:multiLevelType w:val="hybridMultilevel"/>
    <w:tmpl w:val="9E14170A"/>
    <w:lvl w:ilvl="0" w:tplc="043E147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0"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855301"/>
    <w:multiLevelType w:val="hybridMultilevel"/>
    <w:tmpl w:val="B76638E8"/>
    <w:lvl w:ilvl="0" w:tplc="E43EBC82">
      <w:start w:val="1"/>
      <w:numFmt w:val="lowerLetter"/>
      <w:lvlText w:val="%1."/>
      <w:lvlJc w:val="left"/>
      <w:pPr>
        <w:tabs>
          <w:tab w:val="num" w:pos="720"/>
        </w:tabs>
        <w:ind w:left="720" w:hanging="360"/>
      </w:pPr>
      <w:rPr>
        <w:rFonts w:asciiTheme="minorHAnsi" w:eastAsiaTheme="minorHAnsi" w:hAnsiTheme="minorHAnsi" w:cstheme="minorBidi" w:hint="default"/>
        <w:b/>
        <w:bCs w:val="0"/>
      </w:rPr>
    </w:lvl>
    <w:lvl w:ilvl="1" w:tplc="5ADAB25A" w:tentative="1">
      <w:start w:val="1"/>
      <w:numFmt w:val="lowerLetter"/>
      <w:lvlText w:val="%2)"/>
      <w:lvlJc w:val="left"/>
      <w:pPr>
        <w:tabs>
          <w:tab w:val="num" w:pos="1440"/>
        </w:tabs>
        <w:ind w:left="1440" w:hanging="360"/>
      </w:pPr>
    </w:lvl>
    <w:lvl w:ilvl="2" w:tplc="D540A6EC" w:tentative="1">
      <w:start w:val="1"/>
      <w:numFmt w:val="lowerLetter"/>
      <w:lvlText w:val="%3)"/>
      <w:lvlJc w:val="left"/>
      <w:pPr>
        <w:tabs>
          <w:tab w:val="num" w:pos="2160"/>
        </w:tabs>
        <w:ind w:left="2160" w:hanging="360"/>
      </w:pPr>
    </w:lvl>
    <w:lvl w:ilvl="3" w:tplc="5EDC8EAE" w:tentative="1">
      <w:start w:val="1"/>
      <w:numFmt w:val="lowerLetter"/>
      <w:lvlText w:val="%4)"/>
      <w:lvlJc w:val="left"/>
      <w:pPr>
        <w:tabs>
          <w:tab w:val="num" w:pos="2880"/>
        </w:tabs>
        <w:ind w:left="2880" w:hanging="360"/>
      </w:pPr>
    </w:lvl>
    <w:lvl w:ilvl="4" w:tplc="310882DA" w:tentative="1">
      <w:start w:val="1"/>
      <w:numFmt w:val="lowerLetter"/>
      <w:lvlText w:val="%5)"/>
      <w:lvlJc w:val="left"/>
      <w:pPr>
        <w:tabs>
          <w:tab w:val="num" w:pos="3600"/>
        </w:tabs>
        <w:ind w:left="3600" w:hanging="360"/>
      </w:pPr>
    </w:lvl>
    <w:lvl w:ilvl="5" w:tplc="49300E56" w:tentative="1">
      <w:start w:val="1"/>
      <w:numFmt w:val="lowerLetter"/>
      <w:lvlText w:val="%6)"/>
      <w:lvlJc w:val="left"/>
      <w:pPr>
        <w:tabs>
          <w:tab w:val="num" w:pos="4320"/>
        </w:tabs>
        <w:ind w:left="4320" w:hanging="360"/>
      </w:pPr>
    </w:lvl>
    <w:lvl w:ilvl="6" w:tplc="676C2C0E" w:tentative="1">
      <w:start w:val="1"/>
      <w:numFmt w:val="lowerLetter"/>
      <w:lvlText w:val="%7)"/>
      <w:lvlJc w:val="left"/>
      <w:pPr>
        <w:tabs>
          <w:tab w:val="num" w:pos="5040"/>
        </w:tabs>
        <w:ind w:left="5040" w:hanging="360"/>
      </w:pPr>
    </w:lvl>
    <w:lvl w:ilvl="7" w:tplc="70060D6C" w:tentative="1">
      <w:start w:val="1"/>
      <w:numFmt w:val="lowerLetter"/>
      <w:lvlText w:val="%8)"/>
      <w:lvlJc w:val="left"/>
      <w:pPr>
        <w:tabs>
          <w:tab w:val="num" w:pos="5760"/>
        </w:tabs>
        <w:ind w:left="5760" w:hanging="360"/>
      </w:pPr>
    </w:lvl>
    <w:lvl w:ilvl="8" w:tplc="679064B8" w:tentative="1">
      <w:start w:val="1"/>
      <w:numFmt w:val="lowerLetter"/>
      <w:lvlText w:val="%9)"/>
      <w:lvlJc w:val="left"/>
      <w:pPr>
        <w:tabs>
          <w:tab w:val="num" w:pos="6480"/>
        </w:tabs>
        <w:ind w:left="6480" w:hanging="360"/>
      </w:pPr>
    </w:lvl>
  </w:abstractNum>
  <w:abstractNum w:abstractNumId="12" w15:restartNumberingAfterBreak="0">
    <w:nsid w:val="7D487554"/>
    <w:multiLevelType w:val="hybridMultilevel"/>
    <w:tmpl w:val="F21CCCE8"/>
    <w:lvl w:ilvl="0" w:tplc="043E147E">
      <w:start w:val="1"/>
      <w:numFmt w:val="decimal"/>
      <w:pStyle w:val="TG-RECOMMENDA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7"/>
  </w:num>
  <w:num w:numId="6">
    <w:abstractNumId w:val="11"/>
  </w:num>
  <w:num w:numId="7">
    <w:abstractNumId w:val="3"/>
  </w:num>
  <w:num w:numId="8">
    <w:abstractNumId w:val="4"/>
  </w:num>
  <w:num w:numId="9">
    <w:abstractNumId w:val="2"/>
  </w:num>
  <w:num w:numId="10">
    <w:abstractNumId w:val="8"/>
  </w:num>
  <w:num w:numId="11">
    <w:abstractNumId w:val="0"/>
    <w:lvlOverride w:ilvl="0">
      <w:lvl w:ilvl="0">
        <w:start w:val="1"/>
        <w:numFmt w:val="decimal"/>
        <w:pStyle w:val="Heading1"/>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sd2rx2xfxx9s25ed9ac5f9dbdtewee220ewx&quot;&gt;My EndNote Library&lt;record-ids&gt;&lt;item&gt;892&lt;/item&gt;&lt;item&gt;3579&lt;/item&gt;&lt;item&gt;3621&lt;/item&gt;&lt;item&gt;3639&lt;/item&gt;&lt;item&gt;3642&lt;/item&gt;&lt;item&gt;3643&lt;/item&gt;&lt;item&gt;3644&lt;/item&gt;&lt;item&gt;3645&lt;/item&gt;&lt;item&gt;3646&lt;/item&gt;&lt;item&gt;3652&lt;/item&gt;&lt;item&gt;3653&lt;/item&gt;&lt;item&gt;3654&lt;/item&gt;&lt;item&gt;3655&lt;/item&gt;&lt;item&gt;3656&lt;/item&gt;&lt;/record-ids&gt;&lt;/item&gt;&lt;/Libraries&gt;"/>
  </w:docVars>
  <w:rsids>
    <w:rsidRoot w:val="00451DC2"/>
    <w:rsid w:val="00003ADD"/>
    <w:rsid w:val="00004225"/>
    <w:rsid w:val="0000684A"/>
    <w:rsid w:val="00007466"/>
    <w:rsid w:val="00014085"/>
    <w:rsid w:val="00015A93"/>
    <w:rsid w:val="000167D4"/>
    <w:rsid w:val="00023152"/>
    <w:rsid w:val="000237F2"/>
    <w:rsid w:val="00024DB2"/>
    <w:rsid w:val="0002548D"/>
    <w:rsid w:val="00026472"/>
    <w:rsid w:val="0003327B"/>
    <w:rsid w:val="0003672D"/>
    <w:rsid w:val="0004172F"/>
    <w:rsid w:val="00041B92"/>
    <w:rsid w:val="00042E1E"/>
    <w:rsid w:val="00043540"/>
    <w:rsid w:val="0004CE5E"/>
    <w:rsid w:val="000519CB"/>
    <w:rsid w:val="000529F9"/>
    <w:rsid w:val="00053884"/>
    <w:rsid w:val="00054F8B"/>
    <w:rsid w:val="000568DB"/>
    <w:rsid w:val="00057615"/>
    <w:rsid w:val="0006282C"/>
    <w:rsid w:val="0006289F"/>
    <w:rsid w:val="00063E1E"/>
    <w:rsid w:val="000667D3"/>
    <w:rsid w:val="00070221"/>
    <w:rsid w:val="0007034F"/>
    <w:rsid w:val="000710EC"/>
    <w:rsid w:val="00072882"/>
    <w:rsid w:val="00074295"/>
    <w:rsid w:val="000747C5"/>
    <w:rsid w:val="00074ECA"/>
    <w:rsid w:val="00077F64"/>
    <w:rsid w:val="00083F96"/>
    <w:rsid w:val="0008519E"/>
    <w:rsid w:val="000852AD"/>
    <w:rsid w:val="00086920"/>
    <w:rsid w:val="000878DD"/>
    <w:rsid w:val="000913B9"/>
    <w:rsid w:val="00093854"/>
    <w:rsid w:val="00094771"/>
    <w:rsid w:val="000A0952"/>
    <w:rsid w:val="000A0BB9"/>
    <w:rsid w:val="000A0EF3"/>
    <w:rsid w:val="000A460F"/>
    <w:rsid w:val="000A5518"/>
    <w:rsid w:val="000A55D3"/>
    <w:rsid w:val="000A7732"/>
    <w:rsid w:val="000A79D0"/>
    <w:rsid w:val="000B0320"/>
    <w:rsid w:val="000B03FD"/>
    <w:rsid w:val="000B3BB5"/>
    <w:rsid w:val="000B4941"/>
    <w:rsid w:val="000B50C0"/>
    <w:rsid w:val="000B76A6"/>
    <w:rsid w:val="000B7DB0"/>
    <w:rsid w:val="000C1D89"/>
    <w:rsid w:val="000C2374"/>
    <w:rsid w:val="000C308A"/>
    <w:rsid w:val="000C3189"/>
    <w:rsid w:val="000C361D"/>
    <w:rsid w:val="000C5F1E"/>
    <w:rsid w:val="000C6C15"/>
    <w:rsid w:val="000D01D8"/>
    <w:rsid w:val="000D1297"/>
    <w:rsid w:val="000D12D3"/>
    <w:rsid w:val="000D4ADE"/>
    <w:rsid w:val="000D68F2"/>
    <w:rsid w:val="000D7DD6"/>
    <w:rsid w:val="000E278F"/>
    <w:rsid w:val="000E2BBE"/>
    <w:rsid w:val="000E2D76"/>
    <w:rsid w:val="000E3B66"/>
    <w:rsid w:val="000E42E3"/>
    <w:rsid w:val="000E50C1"/>
    <w:rsid w:val="000E5221"/>
    <w:rsid w:val="000E5C1A"/>
    <w:rsid w:val="000E6808"/>
    <w:rsid w:val="000E7563"/>
    <w:rsid w:val="000F1F79"/>
    <w:rsid w:val="000F3274"/>
    <w:rsid w:val="000F6E09"/>
    <w:rsid w:val="000F790B"/>
    <w:rsid w:val="00100066"/>
    <w:rsid w:val="0010069E"/>
    <w:rsid w:val="0011079A"/>
    <w:rsid w:val="0011081E"/>
    <w:rsid w:val="00111302"/>
    <w:rsid w:val="00113444"/>
    <w:rsid w:val="001155A9"/>
    <w:rsid w:val="00116295"/>
    <w:rsid w:val="001162D7"/>
    <w:rsid w:val="00117BFF"/>
    <w:rsid w:val="00120E5A"/>
    <w:rsid w:val="001259FD"/>
    <w:rsid w:val="00126844"/>
    <w:rsid w:val="00131550"/>
    <w:rsid w:val="00132230"/>
    <w:rsid w:val="00132A6C"/>
    <w:rsid w:val="00132F36"/>
    <w:rsid w:val="001414F7"/>
    <w:rsid w:val="00141C3E"/>
    <w:rsid w:val="0014264D"/>
    <w:rsid w:val="001428B1"/>
    <w:rsid w:val="001434C6"/>
    <w:rsid w:val="001437E5"/>
    <w:rsid w:val="001467C6"/>
    <w:rsid w:val="00147BF2"/>
    <w:rsid w:val="0015001A"/>
    <w:rsid w:val="00150245"/>
    <w:rsid w:val="00150FA5"/>
    <w:rsid w:val="00154628"/>
    <w:rsid w:val="00155764"/>
    <w:rsid w:val="00157A9D"/>
    <w:rsid w:val="00161520"/>
    <w:rsid w:val="00161F75"/>
    <w:rsid w:val="00162985"/>
    <w:rsid w:val="00165AFB"/>
    <w:rsid w:val="00167345"/>
    <w:rsid w:val="001673CF"/>
    <w:rsid w:val="001707FB"/>
    <w:rsid w:val="00173685"/>
    <w:rsid w:val="0017476D"/>
    <w:rsid w:val="00177A70"/>
    <w:rsid w:val="001802C0"/>
    <w:rsid w:val="00181929"/>
    <w:rsid w:val="001819AD"/>
    <w:rsid w:val="00182DB1"/>
    <w:rsid w:val="00183EDE"/>
    <w:rsid w:val="00185052"/>
    <w:rsid w:val="001865FE"/>
    <w:rsid w:val="00191575"/>
    <w:rsid w:val="0019423E"/>
    <w:rsid w:val="0019591B"/>
    <w:rsid w:val="00197FFA"/>
    <w:rsid w:val="001A0169"/>
    <w:rsid w:val="001A289E"/>
    <w:rsid w:val="001A69F4"/>
    <w:rsid w:val="001A6EDC"/>
    <w:rsid w:val="001A7836"/>
    <w:rsid w:val="001B0331"/>
    <w:rsid w:val="001B0675"/>
    <w:rsid w:val="001B07FA"/>
    <w:rsid w:val="001B0DFB"/>
    <w:rsid w:val="001B61C0"/>
    <w:rsid w:val="001B7AA7"/>
    <w:rsid w:val="001B7BC7"/>
    <w:rsid w:val="001C0C1D"/>
    <w:rsid w:val="001C1AC5"/>
    <w:rsid w:val="001C2852"/>
    <w:rsid w:val="001C4A9D"/>
    <w:rsid w:val="001C5715"/>
    <w:rsid w:val="001D0AAA"/>
    <w:rsid w:val="001D2983"/>
    <w:rsid w:val="001D2AD4"/>
    <w:rsid w:val="001D5219"/>
    <w:rsid w:val="001D6121"/>
    <w:rsid w:val="001D6183"/>
    <w:rsid w:val="001D67E1"/>
    <w:rsid w:val="001DC1B7"/>
    <w:rsid w:val="001E1620"/>
    <w:rsid w:val="001E2698"/>
    <w:rsid w:val="001E2AEC"/>
    <w:rsid w:val="001E4FA8"/>
    <w:rsid w:val="001E62C5"/>
    <w:rsid w:val="001E6690"/>
    <w:rsid w:val="001F0A77"/>
    <w:rsid w:val="001F2944"/>
    <w:rsid w:val="00201B89"/>
    <w:rsid w:val="00204F96"/>
    <w:rsid w:val="00205015"/>
    <w:rsid w:val="0020514B"/>
    <w:rsid w:val="00206A57"/>
    <w:rsid w:val="0021344D"/>
    <w:rsid w:val="00213928"/>
    <w:rsid w:val="00213B2A"/>
    <w:rsid w:val="00215CF8"/>
    <w:rsid w:val="00217038"/>
    <w:rsid w:val="00217809"/>
    <w:rsid w:val="002178D5"/>
    <w:rsid w:val="00221588"/>
    <w:rsid w:val="00222710"/>
    <w:rsid w:val="00224527"/>
    <w:rsid w:val="00224EB5"/>
    <w:rsid w:val="00225717"/>
    <w:rsid w:val="002258C4"/>
    <w:rsid w:val="002267FF"/>
    <w:rsid w:val="00227009"/>
    <w:rsid w:val="00227543"/>
    <w:rsid w:val="00231023"/>
    <w:rsid w:val="00234141"/>
    <w:rsid w:val="0023613C"/>
    <w:rsid w:val="00237D2F"/>
    <w:rsid w:val="0024016E"/>
    <w:rsid w:val="00240757"/>
    <w:rsid w:val="0024407C"/>
    <w:rsid w:val="002444BB"/>
    <w:rsid w:val="00244DD8"/>
    <w:rsid w:val="00245A9F"/>
    <w:rsid w:val="0024734F"/>
    <w:rsid w:val="00250800"/>
    <w:rsid w:val="002543BA"/>
    <w:rsid w:val="00255C84"/>
    <w:rsid w:val="00256CA8"/>
    <w:rsid w:val="00257038"/>
    <w:rsid w:val="002573BE"/>
    <w:rsid w:val="00260089"/>
    <w:rsid w:val="002619BF"/>
    <w:rsid w:val="00261E22"/>
    <w:rsid w:val="0026217A"/>
    <w:rsid w:val="0026317F"/>
    <w:rsid w:val="00263364"/>
    <w:rsid w:val="00264127"/>
    <w:rsid w:val="002660D5"/>
    <w:rsid w:val="00266D77"/>
    <w:rsid w:val="00270200"/>
    <w:rsid w:val="002712E2"/>
    <w:rsid w:val="0027176A"/>
    <w:rsid w:val="002729DB"/>
    <w:rsid w:val="00272B01"/>
    <w:rsid w:val="00273D21"/>
    <w:rsid w:val="00275603"/>
    <w:rsid w:val="00276C10"/>
    <w:rsid w:val="0028072F"/>
    <w:rsid w:val="00281648"/>
    <w:rsid w:val="00281782"/>
    <w:rsid w:val="00281A2D"/>
    <w:rsid w:val="00281D41"/>
    <w:rsid w:val="00285BE6"/>
    <w:rsid w:val="00285C2D"/>
    <w:rsid w:val="00286D20"/>
    <w:rsid w:val="00287D4B"/>
    <w:rsid w:val="002905CE"/>
    <w:rsid w:val="0029227E"/>
    <w:rsid w:val="00292A26"/>
    <w:rsid w:val="00293CF6"/>
    <w:rsid w:val="00293D1B"/>
    <w:rsid w:val="00293EFC"/>
    <w:rsid w:val="002949AE"/>
    <w:rsid w:val="00295ADA"/>
    <w:rsid w:val="00295BCA"/>
    <w:rsid w:val="00296FFC"/>
    <w:rsid w:val="00297D1E"/>
    <w:rsid w:val="002A0CAE"/>
    <w:rsid w:val="002A12B5"/>
    <w:rsid w:val="002A1583"/>
    <w:rsid w:val="002A1BA3"/>
    <w:rsid w:val="002A1F8E"/>
    <w:rsid w:val="002A3365"/>
    <w:rsid w:val="002A44B5"/>
    <w:rsid w:val="002A5264"/>
    <w:rsid w:val="002A6B01"/>
    <w:rsid w:val="002A77D0"/>
    <w:rsid w:val="002A7F45"/>
    <w:rsid w:val="002B0327"/>
    <w:rsid w:val="002B11DD"/>
    <w:rsid w:val="002B17FD"/>
    <w:rsid w:val="002B1970"/>
    <w:rsid w:val="002B2839"/>
    <w:rsid w:val="002B407F"/>
    <w:rsid w:val="002B4653"/>
    <w:rsid w:val="002B68CA"/>
    <w:rsid w:val="002B7D5D"/>
    <w:rsid w:val="002C0E41"/>
    <w:rsid w:val="002C4E3E"/>
    <w:rsid w:val="002C6921"/>
    <w:rsid w:val="002C771A"/>
    <w:rsid w:val="002D04DB"/>
    <w:rsid w:val="002D2172"/>
    <w:rsid w:val="002D2756"/>
    <w:rsid w:val="002D3B0E"/>
    <w:rsid w:val="002D42D4"/>
    <w:rsid w:val="002D468B"/>
    <w:rsid w:val="002D5AAC"/>
    <w:rsid w:val="002D667D"/>
    <w:rsid w:val="002D689A"/>
    <w:rsid w:val="002D72C8"/>
    <w:rsid w:val="002D7B22"/>
    <w:rsid w:val="002E2419"/>
    <w:rsid w:val="002E2ACD"/>
    <w:rsid w:val="002E415A"/>
    <w:rsid w:val="002E563F"/>
    <w:rsid w:val="002E6249"/>
    <w:rsid w:val="002E6700"/>
    <w:rsid w:val="002F00A8"/>
    <w:rsid w:val="002F0E10"/>
    <w:rsid w:val="002F4C02"/>
    <w:rsid w:val="003020C2"/>
    <w:rsid w:val="00306EFE"/>
    <w:rsid w:val="00310FC9"/>
    <w:rsid w:val="00312EFC"/>
    <w:rsid w:val="0031399B"/>
    <w:rsid w:val="00313C32"/>
    <w:rsid w:val="00315BA7"/>
    <w:rsid w:val="00315D71"/>
    <w:rsid w:val="00315F88"/>
    <w:rsid w:val="003212D4"/>
    <w:rsid w:val="003213D7"/>
    <w:rsid w:val="00322A48"/>
    <w:rsid w:val="00323D1A"/>
    <w:rsid w:val="00323E30"/>
    <w:rsid w:val="0032460F"/>
    <w:rsid w:val="00333A29"/>
    <w:rsid w:val="00334391"/>
    <w:rsid w:val="003344E3"/>
    <w:rsid w:val="00334A4F"/>
    <w:rsid w:val="00337236"/>
    <w:rsid w:val="003433F8"/>
    <w:rsid w:val="003445F2"/>
    <w:rsid w:val="00345C6B"/>
    <w:rsid w:val="003466D7"/>
    <w:rsid w:val="00347147"/>
    <w:rsid w:val="00353215"/>
    <w:rsid w:val="00353F4E"/>
    <w:rsid w:val="00354346"/>
    <w:rsid w:val="003546F6"/>
    <w:rsid w:val="00356C49"/>
    <w:rsid w:val="003612C5"/>
    <w:rsid w:val="003616F0"/>
    <w:rsid w:val="00361EE1"/>
    <w:rsid w:val="00361FEB"/>
    <w:rsid w:val="00363CC2"/>
    <w:rsid w:val="003651D1"/>
    <w:rsid w:val="003656E7"/>
    <w:rsid w:val="00367952"/>
    <w:rsid w:val="00367955"/>
    <w:rsid w:val="0037090F"/>
    <w:rsid w:val="003719CF"/>
    <w:rsid w:val="003737EA"/>
    <w:rsid w:val="00373BB7"/>
    <w:rsid w:val="003745B5"/>
    <w:rsid w:val="003748CF"/>
    <w:rsid w:val="00374C5B"/>
    <w:rsid w:val="00377188"/>
    <w:rsid w:val="003775A1"/>
    <w:rsid w:val="003837A5"/>
    <w:rsid w:val="003842DC"/>
    <w:rsid w:val="00386C14"/>
    <w:rsid w:val="0039073B"/>
    <w:rsid w:val="003909B2"/>
    <w:rsid w:val="00391D6D"/>
    <w:rsid w:val="003922C6"/>
    <w:rsid w:val="00392871"/>
    <w:rsid w:val="00394BDA"/>
    <w:rsid w:val="003958B2"/>
    <w:rsid w:val="00397AC3"/>
    <w:rsid w:val="003A0506"/>
    <w:rsid w:val="003A5C0A"/>
    <w:rsid w:val="003A74FF"/>
    <w:rsid w:val="003B05F6"/>
    <w:rsid w:val="003B0743"/>
    <w:rsid w:val="003B0C45"/>
    <w:rsid w:val="003B242A"/>
    <w:rsid w:val="003B2812"/>
    <w:rsid w:val="003B89F1"/>
    <w:rsid w:val="003C1014"/>
    <w:rsid w:val="003C238D"/>
    <w:rsid w:val="003C2A62"/>
    <w:rsid w:val="003C3D1D"/>
    <w:rsid w:val="003C4113"/>
    <w:rsid w:val="003C44FB"/>
    <w:rsid w:val="003C4D47"/>
    <w:rsid w:val="003C6F83"/>
    <w:rsid w:val="003D0B38"/>
    <w:rsid w:val="003D0C83"/>
    <w:rsid w:val="003D0E56"/>
    <w:rsid w:val="003D0F08"/>
    <w:rsid w:val="003D0F09"/>
    <w:rsid w:val="003D1B9C"/>
    <w:rsid w:val="003D24F7"/>
    <w:rsid w:val="003D4261"/>
    <w:rsid w:val="003E058D"/>
    <w:rsid w:val="003E2A37"/>
    <w:rsid w:val="003E4AE0"/>
    <w:rsid w:val="003E5956"/>
    <w:rsid w:val="003E61DC"/>
    <w:rsid w:val="003E6B48"/>
    <w:rsid w:val="003E746D"/>
    <w:rsid w:val="003E7A76"/>
    <w:rsid w:val="003F0138"/>
    <w:rsid w:val="003F1EAE"/>
    <w:rsid w:val="003F40CB"/>
    <w:rsid w:val="003F7429"/>
    <w:rsid w:val="003F7A0E"/>
    <w:rsid w:val="00401E5B"/>
    <w:rsid w:val="00402E48"/>
    <w:rsid w:val="00404048"/>
    <w:rsid w:val="004075F8"/>
    <w:rsid w:val="004100D5"/>
    <w:rsid w:val="004104D1"/>
    <w:rsid w:val="0041065F"/>
    <w:rsid w:val="004133F1"/>
    <w:rsid w:val="004147B0"/>
    <w:rsid w:val="00415596"/>
    <w:rsid w:val="004160E2"/>
    <w:rsid w:val="0041621D"/>
    <w:rsid w:val="00416E07"/>
    <w:rsid w:val="00417780"/>
    <w:rsid w:val="00417898"/>
    <w:rsid w:val="00417C43"/>
    <w:rsid w:val="00420333"/>
    <w:rsid w:val="0042514E"/>
    <w:rsid w:val="00426717"/>
    <w:rsid w:val="00426784"/>
    <w:rsid w:val="00426E37"/>
    <w:rsid w:val="004273F7"/>
    <w:rsid w:val="00427535"/>
    <w:rsid w:val="004310C0"/>
    <w:rsid w:val="004324CB"/>
    <w:rsid w:val="00432856"/>
    <w:rsid w:val="004328F4"/>
    <w:rsid w:val="00433342"/>
    <w:rsid w:val="0043493E"/>
    <w:rsid w:val="00436822"/>
    <w:rsid w:val="004369A4"/>
    <w:rsid w:val="00437934"/>
    <w:rsid w:val="0044071A"/>
    <w:rsid w:val="004432FC"/>
    <w:rsid w:val="00447213"/>
    <w:rsid w:val="00450E3B"/>
    <w:rsid w:val="00451DC2"/>
    <w:rsid w:val="004530A6"/>
    <w:rsid w:val="00455CAE"/>
    <w:rsid w:val="00457A01"/>
    <w:rsid w:val="004603BC"/>
    <w:rsid w:val="004609EC"/>
    <w:rsid w:val="00465463"/>
    <w:rsid w:val="00465A42"/>
    <w:rsid w:val="00466631"/>
    <w:rsid w:val="00470E38"/>
    <w:rsid w:val="00471471"/>
    <w:rsid w:val="004744FD"/>
    <w:rsid w:val="0047526E"/>
    <w:rsid w:val="00475DC6"/>
    <w:rsid w:val="00475F29"/>
    <w:rsid w:val="004769C8"/>
    <w:rsid w:val="00476E3F"/>
    <w:rsid w:val="0048153B"/>
    <w:rsid w:val="0048170A"/>
    <w:rsid w:val="00483239"/>
    <w:rsid w:val="0048440F"/>
    <w:rsid w:val="0048619C"/>
    <w:rsid w:val="00486D2C"/>
    <w:rsid w:val="00486D7C"/>
    <w:rsid w:val="004871DF"/>
    <w:rsid w:val="004923BC"/>
    <w:rsid w:val="004934BA"/>
    <w:rsid w:val="00493D80"/>
    <w:rsid w:val="004954B7"/>
    <w:rsid w:val="004969A8"/>
    <w:rsid w:val="004A34F0"/>
    <w:rsid w:val="004A47A7"/>
    <w:rsid w:val="004A49EA"/>
    <w:rsid w:val="004A6704"/>
    <w:rsid w:val="004B01A8"/>
    <w:rsid w:val="004B0D9A"/>
    <w:rsid w:val="004B2BF1"/>
    <w:rsid w:val="004B4A66"/>
    <w:rsid w:val="004B4C68"/>
    <w:rsid w:val="004B7E77"/>
    <w:rsid w:val="004C02D7"/>
    <w:rsid w:val="004C059F"/>
    <w:rsid w:val="004C1017"/>
    <w:rsid w:val="004C1FB7"/>
    <w:rsid w:val="004C3B22"/>
    <w:rsid w:val="004C49FB"/>
    <w:rsid w:val="004C5922"/>
    <w:rsid w:val="004C5C2C"/>
    <w:rsid w:val="004C67AC"/>
    <w:rsid w:val="004D02F0"/>
    <w:rsid w:val="004D224C"/>
    <w:rsid w:val="004D3629"/>
    <w:rsid w:val="004D4D57"/>
    <w:rsid w:val="004D791D"/>
    <w:rsid w:val="004E00AA"/>
    <w:rsid w:val="004E2FDA"/>
    <w:rsid w:val="004E4D31"/>
    <w:rsid w:val="004E57A7"/>
    <w:rsid w:val="004E79EB"/>
    <w:rsid w:val="004F0E80"/>
    <w:rsid w:val="004F1456"/>
    <w:rsid w:val="004F1B61"/>
    <w:rsid w:val="004F2C05"/>
    <w:rsid w:val="004F2DFB"/>
    <w:rsid w:val="004F3A0F"/>
    <w:rsid w:val="004F6FB2"/>
    <w:rsid w:val="004F71BB"/>
    <w:rsid w:val="00500956"/>
    <w:rsid w:val="00503031"/>
    <w:rsid w:val="005037AB"/>
    <w:rsid w:val="00505118"/>
    <w:rsid w:val="00506370"/>
    <w:rsid w:val="005070C0"/>
    <w:rsid w:val="00507385"/>
    <w:rsid w:val="00507892"/>
    <w:rsid w:val="00510DAA"/>
    <w:rsid w:val="00511BDA"/>
    <w:rsid w:val="005150F4"/>
    <w:rsid w:val="00517D91"/>
    <w:rsid w:val="005207E1"/>
    <w:rsid w:val="00520A94"/>
    <w:rsid w:val="0052347E"/>
    <w:rsid w:val="00524A54"/>
    <w:rsid w:val="005250D6"/>
    <w:rsid w:val="005308CB"/>
    <w:rsid w:val="005313F4"/>
    <w:rsid w:val="00532EBD"/>
    <w:rsid w:val="0053315F"/>
    <w:rsid w:val="00534809"/>
    <w:rsid w:val="005372B0"/>
    <w:rsid w:val="005374C6"/>
    <w:rsid w:val="00540A1B"/>
    <w:rsid w:val="00540C31"/>
    <w:rsid w:val="00540ECF"/>
    <w:rsid w:val="005417DF"/>
    <w:rsid w:val="005421CE"/>
    <w:rsid w:val="005425E9"/>
    <w:rsid w:val="00542FF9"/>
    <w:rsid w:val="005449E5"/>
    <w:rsid w:val="005452CD"/>
    <w:rsid w:val="00545897"/>
    <w:rsid w:val="00547EB6"/>
    <w:rsid w:val="005541E2"/>
    <w:rsid w:val="00561384"/>
    <w:rsid w:val="00561BF1"/>
    <w:rsid w:val="00565D32"/>
    <w:rsid w:val="0056652C"/>
    <w:rsid w:val="00573001"/>
    <w:rsid w:val="005752E0"/>
    <w:rsid w:val="00575400"/>
    <w:rsid w:val="0057617B"/>
    <w:rsid w:val="00580717"/>
    <w:rsid w:val="00581547"/>
    <w:rsid w:val="0058450A"/>
    <w:rsid w:val="005903FB"/>
    <w:rsid w:val="005918E0"/>
    <w:rsid w:val="00592B52"/>
    <w:rsid w:val="00593A0E"/>
    <w:rsid w:val="0059517E"/>
    <w:rsid w:val="00595460"/>
    <w:rsid w:val="0059613D"/>
    <w:rsid w:val="005A1304"/>
    <w:rsid w:val="005A1601"/>
    <w:rsid w:val="005A1DF7"/>
    <w:rsid w:val="005A2F40"/>
    <w:rsid w:val="005A3D11"/>
    <w:rsid w:val="005A6FD1"/>
    <w:rsid w:val="005B02AD"/>
    <w:rsid w:val="005B3186"/>
    <w:rsid w:val="005B4813"/>
    <w:rsid w:val="005B7123"/>
    <w:rsid w:val="005B738A"/>
    <w:rsid w:val="005C0C1F"/>
    <w:rsid w:val="005C0C9F"/>
    <w:rsid w:val="005C3AF0"/>
    <w:rsid w:val="005C57C8"/>
    <w:rsid w:val="005D13CB"/>
    <w:rsid w:val="005D3923"/>
    <w:rsid w:val="005D4329"/>
    <w:rsid w:val="005D4A0A"/>
    <w:rsid w:val="005D5E20"/>
    <w:rsid w:val="005D6F1D"/>
    <w:rsid w:val="005E1D14"/>
    <w:rsid w:val="005E1EA0"/>
    <w:rsid w:val="005E528E"/>
    <w:rsid w:val="005E6703"/>
    <w:rsid w:val="005F2D4E"/>
    <w:rsid w:val="005F2E3E"/>
    <w:rsid w:val="005F4E0A"/>
    <w:rsid w:val="005F6297"/>
    <w:rsid w:val="005F62A3"/>
    <w:rsid w:val="005F6972"/>
    <w:rsid w:val="005F6CEF"/>
    <w:rsid w:val="006006E7"/>
    <w:rsid w:val="0060120C"/>
    <w:rsid w:val="006019DB"/>
    <w:rsid w:val="00603859"/>
    <w:rsid w:val="00603C50"/>
    <w:rsid w:val="006071F5"/>
    <w:rsid w:val="006074A0"/>
    <w:rsid w:val="00612B29"/>
    <w:rsid w:val="00613014"/>
    <w:rsid w:val="006240BE"/>
    <w:rsid w:val="00624CF1"/>
    <w:rsid w:val="00625669"/>
    <w:rsid w:val="00627775"/>
    <w:rsid w:val="00630E76"/>
    <w:rsid w:val="00632DC8"/>
    <w:rsid w:val="00632DCA"/>
    <w:rsid w:val="00636A29"/>
    <w:rsid w:val="006375E0"/>
    <w:rsid w:val="00637A38"/>
    <w:rsid w:val="006404A1"/>
    <w:rsid w:val="00640861"/>
    <w:rsid w:val="00644E59"/>
    <w:rsid w:val="0064538C"/>
    <w:rsid w:val="00645F65"/>
    <w:rsid w:val="00650569"/>
    <w:rsid w:val="00651675"/>
    <w:rsid w:val="00652FB4"/>
    <w:rsid w:val="00653C20"/>
    <w:rsid w:val="00653F2A"/>
    <w:rsid w:val="0065406D"/>
    <w:rsid w:val="006545C6"/>
    <w:rsid w:val="0065580C"/>
    <w:rsid w:val="006610F6"/>
    <w:rsid w:val="00661E53"/>
    <w:rsid w:val="00662CC7"/>
    <w:rsid w:val="00664B85"/>
    <w:rsid w:val="006701FB"/>
    <w:rsid w:val="0067070B"/>
    <w:rsid w:val="00672B9E"/>
    <w:rsid w:val="00674AA0"/>
    <w:rsid w:val="00675945"/>
    <w:rsid w:val="00681890"/>
    <w:rsid w:val="00683AC2"/>
    <w:rsid w:val="00684D57"/>
    <w:rsid w:val="006915F4"/>
    <w:rsid w:val="006917DB"/>
    <w:rsid w:val="0069331A"/>
    <w:rsid w:val="00697201"/>
    <w:rsid w:val="006977E0"/>
    <w:rsid w:val="006A7AA4"/>
    <w:rsid w:val="006B00FA"/>
    <w:rsid w:val="006B18B9"/>
    <w:rsid w:val="006B2DF6"/>
    <w:rsid w:val="006B4660"/>
    <w:rsid w:val="006B739A"/>
    <w:rsid w:val="006C1581"/>
    <w:rsid w:val="006C3AA8"/>
    <w:rsid w:val="006C44EF"/>
    <w:rsid w:val="006C552F"/>
    <w:rsid w:val="006C6887"/>
    <w:rsid w:val="006C79A8"/>
    <w:rsid w:val="006C7CA0"/>
    <w:rsid w:val="006D2F4E"/>
    <w:rsid w:val="006D4586"/>
    <w:rsid w:val="006D7011"/>
    <w:rsid w:val="006D7D7A"/>
    <w:rsid w:val="006E1C22"/>
    <w:rsid w:val="006E1E00"/>
    <w:rsid w:val="006E2160"/>
    <w:rsid w:val="006E23B9"/>
    <w:rsid w:val="006E32D5"/>
    <w:rsid w:val="006E35AB"/>
    <w:rsid w:val="006E377D"/>
    <w:rsid w:val="006E3BB7"/>
    <w:rsid w:val="006E5773"/>
    <w:rsid w:val="006F036E"/>
    <w:rsid w:val="006F19C3"/>
    <w:rsid w:val="006F2F22"/>
    <w:rsid w:val="006F40F1"/>
    <w:rsid w:val="006F7200"/>
    <w:rsid w:val="006F7E97"/>
    <w:rsid w:val="00700032"/>
    <w:rsid w:val="00700BB9"/>
    <w:rsid w:val="00705AEA"/>
    <w:rsid w:val="00705D4A"/>
    <w:rsid w:val="00707005"/>
    <w:rsid w:val="00710711"/>
    <w:rsid w:val="0071095E"/>
    <w:rsid w:val="00710EAB"/>
    <w:rsid w:val="0071135C"/>
    <w:rsid w:val="00711BEF"/>
    <w:rsid w:val="00713053"/>
    <w:rsid w:val="00714A02"/>
    <w:rsid w:val="00715957"/>
    <w:rsid w:val="007219A6"/>
    <w:rsid w:val="00722CB0"/>
    <w:rsid w:val="007262FD"/>
    <w:rsid w:val="007300BC"/>
    <w:rsid w:val="007300C4"/>
    <w:rsid w:val="007303ED"/>
    <w:rsid w:val="007314D8"/>
    <w:rsid w:val="0073248D"/>
    <w:rsid w:val="00732EE7"/>
    <w:rsid w:val="00733571"/>
    <w:rsid w:val="00734E9D"/>
    <w:rsid w:val="0073629B"/>
    <w:rsid w:val="007368B1"/>
    <w:rsid w:val="007400CE"/>
    <w:rsid w:val="00742BC8"/>
    <w:rsid w:val="00743072"/>
    <w:rsid w:val="00747AAE"/>
    <w:rsid w:val="00747F85"/>
    <w:rsid w:val="007514DE"/>
    <w:rsid w:val="00753C23"/>
    <w:rsid w:val="00755709"/>
    <w:rsid w:val="00756FCA"/>
    <w:rsid w:val="00757409"/>
    <w:rsid w:val="0076306A"/>
    <w:rsid w:val="00764EBF"/>
    <w:rsid w:val="007667C4"/>
    <w:rsid w:val="0076788D"/>
    <w:rsid w:val="00767EEE"/>
    <w:rsid w:val="007720D4"/>
    <w:rsid w:val="0077375E"/>
    <w:rsid w:val="007741D2"/>
    <w:rsid w:val="00776A19"/>
    <w:rsid w:val="00776F2E"/>
    <w:rsid w:val="00780F47"/>
    <w:rsid w:val="00787E27"/>
    <w:rsid w:val="007906DD"/>
    <w:rsid w:val="00792814"/>
    <w:rsid w:val="0079294C"/>
    <w:rsid w:val="00794F7E"/>
    <w:rsid w:val="0079589D"/>
    <w:rsid w:val="0079704C"/>
    <w:rsid w:val="007A1739"/>
    <w:rsid w:val="007A3972"/>
    <w:rsid w:val="007A3BD6"/>
    <w:rsid w:val="007A4C5A"/>
    <w:rsid w:val="007A51C2"/>
    <w:rsid w:val="007A5FE6"/>
    <w:rsid w:val="007A686F"/>
    <w:rsid w:val="007B2671"/>
    <w:rsid w:val="007B5BC4"/>
    <w:rsid w:val="007B6632"/>
    <w:rsid w:val="007B710C"/>
    <w:rsid w:val="007C050F"/>
    <w:rsid w:val="007C0DF9"/>
    <w:rsid w:val="007C220D"/>
    <w:rsid w:val="007D1133"/>
    <w:rsid w:val="007D52A2"/>
    <w:rsid w:val="007D567C"/>
    <w:rsid w:val="007D5E96"/>
    <w:rsid w:val="007D72F4"/>
    <w:rsid w:val="007D762A"/>
    <w:rsid w:val="007D7D62"/>
    <w:rsid w:val="007E2909"/>
    <w:rsid w:val="007E3E85"/>
    <w:rsid w:val="007E7919"/>
    <w:rsid w:val="007F229C"/>
    <w:rsid w:val="007F2AF6"/>
    <w:rsid w:val="007F2C03"/>
    <w:rsid w:val="007F3B53"/>
    <w:rsid w:val="007F494E"/>
    <w:rsid w:val="007F4B28"/>
    <w:rsid w:val="007F72B7"/>
    <w:rsid w:val="00801640"/>
    <w:rsid w:val="00802FB2"/>
    <w:rsid w:val="00803EB4"/>
    <w:rsid w:val="0080424B"/>
    <w:rsid w:val="0080511F"/>
    <w:rsid w:val="00805BFD"/>
    <w:rsid w:val="008105D1"/>
    <w:rsid w:val="00812622"/>
    <w:rsid w:val="00815D11"/>
    <w:rsid w:val="00816FC5"/>
    <w:rsid w:val="00817B7C"/>
    <w:rsid w:val="008225DF"/>
    <w:rsid w:val="008241D5"/>
    <w:rsid w:val="00824A5B"/>
    <w:rsid w:val="00825B1C"/>
    <w:rsid w:val="008268C7"/>
    <w:rsid w:val="00826D87"/>
    <w:rsid w:val="008271B0"/>
    <w:rsid w:val="008278CE"/>
    <w:rsid w:val="00830E07"/>
    <w:rsid w:val="008320A5"/>
    <w:rsid w:val="00834BEE"/>
    <w:rsid w:val="00836EDC"/>
    <w:rsid w:val="00841AB1"/>
    <w:rsid w:val="00844E86"/>
    <w:rsid w:val="00845794"/>
    <w:rsid w:val="00850D4B"/>
    <w:rsid w:val="00853332"/>
    <w:rsid w:val="008540B0"/>
    <w:rsid w:val="008544D6"/>
    <w:rsid w:val="00854740"/>
    <w:rsid w:val="00855456"/>
    <w:rsid w:val="00855D01"/>
    <w:rsid w:val="00855F72"/>
    <w:rsid w:val="00857945"/>
    <w:rsid w:val="00860A95"/>
    <w:rsid w:val="00862AF1"/>
    <w:rsid w:val="00864B82"/>
    <w:rsid w:val="008653F9"/>
    <w:rsid w:val="00872F9E"/>
    <w:rsid w:val="008740F6"/>
    <w:rsid w:val="008772D2"/>
    <w:rsid w:val="008775EE"/>
    <w:rsid w:val="00880802"/>
    <w:rsid w:val="00881D6B"/>
    <w:rsid w:val="00882DF9"/>
    <w:rsid w:val="00882E6D"/>
    <w:rsid w:val="00887252"/>
    <w:rsid w:val="00887645"/>
    <w:rsid w:val="0088787C"/>
    <w:rsid w:val="00890141"/>
    <w:rsid w:val="00890CFC"/>
    <w:rsid w:val="00891B88"/>
    <w:rsid w:val="008940B8"/>
    <w:rsid w:val="00895FD9"/>
    <w:rsid w:val="00897321"/>
    <w:rsid w:val="00897D5A"/>
    <w:rsid w:val="008A04D9"/>
    <w:rsid w:val="008A052D"/>
    <w:rsid w:val="008A175F"/>
    <w:rsid w:val="008A17B9"/>
    <w:rsid w:val="008A291B"/>
    <w:rsid w:val="008A49A3"/>
    <w:rsid w:val="008A6564"/>
    <w:rsid w:val="008A7BEA"/>
    <w:rsid w:val="008A7D81"/>
    <w:rsid w:val="008B4914"/>
    <w:rsid w:val="008B4F12"/>
    <w:rsid w:val="008C299A"/>
    <w:rsid w:val="008C3983"/>
    <w:rsid w:val="008C425B"/>
    <w:rsid w:val="008C5AE9"/>
    <w:rsid w:val="008C761E"/>
    <w:rsid w:val="008C7A87"/>
    <w:rsid w:val="008D030D"/>
    <w:rsid w:val="008D062A"/>
    <w:rsid w:val="008D119E"/>
    <w:rsid w:val="008D1EB1"/>
    <w:rsid w:val="008D472F"/>
    <w:rsid w:val="008D6010"/>
    <w:rsid w:val="008D654A"/>
    <w:rsid w:val="008D6A54"/>
    <w:rsid w:val="008E01B5"/>
    <w:rsid w:val="008E0E1F"/>
    <w:rsid w:val="008E1CB9"/>
    <w:rsid w:val="008E222C"/>
    <w:rsid w:val="008E2289"/>
    <w:rsid w:val="008E40B9"/>
    <w:rsid w:val="008E415C"/>
    <w:rsid w:val="008E4435"/>
    <w:rsid w:val="008F1112"/>
    <w:rsid w:val="008F3821"/>
    <w:rsid w:val="008F4BE6"/>
    <w:rsid w:val="00900451"/>
    <w:rsid w:val="00900F3C"/>
    <w:rsid w:val="00901195"/>
    <w:rsid w:val="009037C5"/>
    <w:rsid w:val="00904737"/>
    <w:rsid w:val="00905E11"/>
    <w:rsid w:val="00905F72"/>
    <w:rsid w:val="00907338"/>
    <w:rsid w:val="00910AB1"/>
    <w:rsid w:val="00910C6F"/>
    <w:rsid w:val="009138BB"/>
    <w:rsid w:val="009144A4"/>
    <w:rsid w:val="00914DC5"/>
    <w:rsid w:val="00915822"/>
    <w:rsid w:val="009172F6"/>
    <w:rsid w:val="00917420"/>
    <w:rsid w:val="009215BC"/>
    <w:rsid w:val="009229EC"/>
    <w:rsid w:val="0092443E"/>
    <w:rsid w:val="00924F85"/>
    <w:rsid w:val="009253A1"/>
    <w:rsid w:val="00925ED9"/>
    <w:rsid w:val="00930237"/>
    <w:rsid w:val="00930A15"/>
    <w:rsid w:val="00932CD2"/>
    <w:rsid w:val="009333F2"/>
    <w:rsid w:val="00934021"/>
    <w:rsid w:val="00934817"/>
    <w:rsid w:val="00934B9F"/>
    <w:rsid w:val="0093513F"/>
    <w:rsid w:val="00937428"/>
    <w:rsid w:val="00937F3B"/>
    <w:rsid w:val="009405BF"/>
    <w:rsid w:val="0094666D"/>
    <w:rsid w:val="00946FB5"/>
    <w:rsid w:val="009471FD"/>
    <w:rsid w:val="009525E7"/>
    <w:rsid w:val="00952CBB"/>
    <w:rsid w:val="009532C3"/>
    <w:rsid w:val="00953436"/>
    <w:rsid w:val="00953C76"/>
    <w:rsid w:val="009541FF"/>
    <w:rsid w:val="0095473D"/>
    <w:rsid w:val="00956FE0"/>
    <w:rsid w:val="00962F1A"/>
    <w:rsid w:val="00963B7F"/>
    <w:rsid w:val="00964663"/>
    <w:rsid w:val="00965489"/>
    <w:rsid w:val="00965A1B"/>
    <w:rsid w:val="00966A6F"/>
    <w:rsid w:val="00966DFB"/>
    <w:rsid w:val="00967497"/>
    <w:rsid w:val="0097019C"/>
    <w:rsid w:val="00970DF1"/>
    <w:rsid w:val="0098213E"/>
    <w:rsid w:val="009824BF"/>
    <w:rsid w:val="00984241"/>
    <w:rsid w:val="009901B4"/>
    <w:rsid w:val="00995931"/>
    <w:rsid w:val="009968F3"/>
    <w:rsid w:val="009A00B6"/>
    <w:rsid w:val="009A0692"/>
    <w:rsid w:val="009A0D56"/>
    <w:rsid w:val="009A2DE8"/>
    <w:rsid w:val="009A2E16"/>
    <w:rsid w:val="009A2FBD"/>
    <w:rsid w:val="009A4274"/>
    <w:rsid w:val="009A70B3"/>
    <w:rsid w:val="009A79A0"/>
    <w:rsid w:val="009B0037"/>
    <w:rsid w:val="009B329A"/>
    <w:rsid w:val="009B355A"/>
    <w:rsid w:val="009B6FA6"/>
    <w:rsid w:val="009C1031"/>
    <w:rsid w:val="009C33D1"/>
    <w:rsid w:val="009C3481"/>
    <w:rsid w:val="009C394C"/>
    <w:rsid w:val="009C76E0"/>
    <w:rsid w:val="009D4144"/>
    <w:rsid w:val="009D493A"/>
    <w:rsid w:val="009D5EEC"/>
    <w:rsid w:val="009D604E"/>
    <w:rsid w:val="009D7F1D"/>
    <w:rsid w:val="009E17C4"/>
    <w:rsid w:val="009E2ED1"/>
    <w:rsid w:val="009E4DFB"/>
    <w:rsid w:val="009E6509"/>
    <w:rsid w:val="009F0A34"/>
    <w:rsid w:val="009F0BF4"/>
    <w:rsid w:val="009F42F6"/>
    <w:rsid w:val="009F6EC9"/>
    <w:rsid w:val="00A002DE"/>
    <w:rsid w:val="00A00EEA"/>
    <w:rsid w:val="00A01D01"/>
    <w:rsid w:val="00A043E1"/>
    <w:rsid w:val="00A05098"/>
    <w:rsid w:val="00A0536F"/>
    <w:rsid w:val="00A06469"/>
    <w:rsid w:val="00A10104"/>
    <w:rsid w:val="00A10403"/>
    <w:rsid w:val="00A10428"/>
    <w:rsid w:val="00A10791"/>
    <w:rsid w:val="00A108C7"/>
    <w:rsid w:val="00A12EB5"/>
    <w:rsid w:val="00A15FFA"/>
    <w:rsid w:val="00A2021A"/>
    <w:rsid w:val="00A22E13"/>
    <w:rsid w:val="00A23125"/>
    <w:rsid w:val="00A2404F"/>
    <w:rsid w:val="00A25622"/>
    <w:rsid w:val="00A26CC8"/>
    <w:rsid w:val="00A3065F"/>
    <w:rsid w:val="00A334E8"/>
    <w:rsid w:val="00A33DB2"/>
    <w:rsid w:val="00A37A96"/>
    <w:rsid w:val="00A402E9"/>
    <w:rsid w:val="00A43C33"/>
    <w:rsid w:val="00A44B4F"/>
    <w:rsid w:val="00A46A44"/>
    <w:rsid w:val="00A4753D"/>
    <w:rsid w:val="00A47F2F"/>
    <w:rsid w:val="00A516B4"/>
    <w:rsid w:val="00A51733"/>
    <w:rsid w:val="00A5457E"/>
    <w:rsid w:val="00A54B8D"/>
    <w:rsid w:val="00A56AD0"/>
    <w:rsid w:val="00A60FC9"/>
    <w:rsid w:val="00A63CB4"/>
    <w:rsid w:val="00A65BDA"/>
    <w:rsid w:val="00A70FCD"/>
    <w:rsid w:val="00A710E9"/>
    <w:rsid w:val="00A71160"/>
    <w:rsid w:val="00A7442E"/>
    <w:rsid w:val="00A74652"/>
    <w:rsid w:val="00A761E5"/>
    <w:rsid w:val="00A771B3"/>
    <w:rsid w:val="00A77E71"/>
    <w:rsid w:val="00A843DB"/>
    <w:rsid w:val="00A8443B"/>
    <w:rsid w:val="00A84E61"/>
    <w:rsid w:val="00A91A71"/>
    <w:rsid w:val="00A9278E"/>
    <w:rsid w:val="00A95904"/>
    <w:rsid w:val="00A96B4A"/>
    <w:rsid w:val="00A97248"/>
    <w:rsid w:val="00AA074B"/>
    <w:rsid w:val="00AA20CD"/>
    <w:rsid w:val="00AA2616"/>
    <w:rsid w:val="00AA68C1"/>
    <w:rsid w:val="00AA72F4"/>
    <w:rsid w:val="00AB00AC"/>
    <w:rsid w:val="00AB06F6"/>
    <w:rsid w:val="00AB121D"/>
    <w:rsid w:val="00AB23BE"/>
    <w:rsid w:val="00AB2559"/>
    <w:rsid w:val="00AB500E"/>
    <w:rsid w:val="00AB57E1"/>
    <w:rsid w:val="00AB5D1A"/>
    <w:rsid w:val="00AB7175"/>
    <w:rsid w:val="00AC1AAA"/>
    <w:rsid w:val="00AC2C22"/>
    <w:rsid w:val="00AC36BB"/>
    <w:rsid w:val="00AC3B03"/>
    <w:rsid w:val="00AC47D6"/>
    <w:rsid w:val="00AC4B80"/>
    <w:rsid w:val="00AC501E"/>
    <w:rsid w:val="00AC5700"/>
    <w:rsid w:val="00AC5D74"/>
    <w:rsid w:val="00AC5E31"/>
    <w:rsid w:val="00AC72D9"/>
    <w:rsid w:val="00AD6804"/>
    <w:rsid w:val="00AE0AB9"/>
    <w:rsid w:val="00AE1476"/>
    <w:rsid w:val="00AE227C"/>
    <w:rsid w:val="00AE4E40"/>
    <w:rsid w:val="00AF0330"/>
    <w:rsid w:val="00AF0B65"/>
    <w:rsid w:val="00AF20CB"/>
    <w:rsid w:val="00AF23C6"/>
    <w:rsid w:val="00AF2543"/>
    <w:rsid w:val="00AF3CFF"/>
    <w:rsid w:val="00AF581B"/>
    <w:rsid w:val="00AF6F4E"/>
    <w:rsid w:val="00AF70B6"/>
    <w:rsid w:val="00AF7D31"/>
    <w:rsid w:val="00AF9E53"/>
    <w:rsid w:val="00B007F0"/>
    <w:rsid w:val="00B00E90"/>
    <w:rsid w:val="00B018BC"/>
    <w:rsid w:val="00B021E5"/>
    <w:rsid w:val="00B026E7"/>
    <w:rsid w:val="00B03574"/>
    <w:rsid w:val="00B03A4F"/>
    <w:rsid w:val="00B03DB4"/>
    <w:rsid w:val="00B049DD"/>
    <w:rsid w:val="00B06723"/>
    <w:rsid w:val="00B10154"/>
    <w:rsid w:val="00B10482"/>
    <w:rsid w:val="00B10D16"/>
    <w:rsid w:val="00B12386"/>
    <w:rsid w:val="00B13518"/>
    <w:rsid w:val="00B178A1"/>
    <w:rsid w:val="00B2042F"/>
    <w:rsid w:val="00B20809"/>
    <w:rsid w:val="00B24130"/>
    <w:rsid w:val="00B248A1"/>
    <w:rsid w:val="00B2496E"/>
    <w:rsid w:val="00B26B7D"/>
    <w:rsid w:val="00B31902"/>
    <w:rsid w:val="00B32C08"/>
    <w:rsid w:val="00B34081"/>
    <w:rsid w:val="00B34F9E"/>
    <w:rsid w:val="00B36F6B"/>
    <w:rsid w:val="00B3707D"/>
    <w:rsid w:val="00B43641"/>
    <w:rsid w:val="00B43CF6"/>
    <w:rsid w:val="00B4508A"/>
    <w:rsid w:val="00B52381"/>
    <w:rsid w:val="00B523DE"/>
    <w:rsid w:val="00B5439D"/>
    <w:rsid w:val="00B62245"/>
    <w:rsid w:val="00B63A54"/>
    <w:rsid w:val="00B64C5B"/>
    <w:rsid w:val="00B6716B"/>
    <w:rsid w:val="00B67B08"/>
    <w:rsid w:val="00B70048"/>
    <w:rsid w:val="00B7236D"/>
    <w:rsid w:val="00B741FA"/>
    <w:rsid w:val="00B75F2D"/>
    <w:rsid w:val="00B75FCB"/>
    <w:rsid w:val="00B77BC9"/>
    <w:rsid w:val="00B80CF5"/>
    <w:rsid w:val="00B82695"/>
    <w:rsid w:val="00B829F8"/>
    <w:rsid w:val="00B846C9"/>
    <w:rsid w:val="00B857F1"/>
    <w:rsid w:val="00B86675"/>
    <w:rsid w:val="00B9145A"/>
    <w:rsid w:val="00B92057"/>
    <w:rsid w:val="00B95208"/>
    <w:rsid w:val="00B955B0"/>
    <w:rsid w:val="00B966A2"/>
    <w:rsid w:val="00B96751"/>
    <w:rsid w:val="00B97A24"/>
    <w:rsid w:val="00BA101E"/>
    <w:rsid w:val="00BA2DBE"/>
    <w:rsid w:val="00BA365E"/>
    <w:rsid w:val="00BA493D"/>
    <w:rsid w:val="00BA6339"/>
    <w:rsid w:val="00BA706C"/>
    <w:rsid w:val="00BA70FB"/>
    <w:rsid w:val="00BA7FAD"/>
    <w:rsid w:val="00BB1AEC"/>
    <w:rsid w:val="00BB2A35"/>
    <w:rsid w:val="00BB322E"/>
    <w:rsid w:val="00BB3F60"/>
    <w:rsid w:val="00BB4AAB"/>
    <w:rsid w:val="00BB6CBC"/>
    <w:rsid w:val="00BB6DC9"/>
    <w:rsid w:val="00BC0308"/>
    <w:rsid w:val="00BC0DF5"/>
    <w:rsid w:val="00BC1226"/>
    <w:rsid w:val="00BC1F2E"/>
    <w:rsid w:val="00BC3136"/>
    <w:rsid w:val="00BD1575"/>
    <w:rsid w:val="00BD3117"/>
    <w:rsid w:val="00BD505C"/>
    <w:rsid w:val="00BD6CDA"/>
    <w:rsid w:val="00BE27B7"/>
    <w:rsid w:val="00BE3752"/>
    <w:rsid w:val="00BE5E43"/>
    <w:rsid w:val="00BE5EDF"/>
    <w:rsid w:val="00BE6511"/>
    <w:rsid w:val="00BE7531"/>
    <w:rsid w:val="00BF0C85"/>
    <w:rsid w:val="00BF2129"/>
    <w:rsid w:val="00BF25B4"/>
    <w:rsid w:val="00BF644F"/>
    <w:rsid w:val="00C00444"/>
    <w:rsid w:val="00C028DE"/>
    <w:rsid w:val="00C0536C"/>
    <w:rsid w:val="00C0583A"/>
    <w:rsid w:val="00C06FF6"/>
    <w:rsid w:val="00C07009"/>
    <w:rsid w:val="00C07E6E"/>
    <w:rsid w:val="00C10E97"/>
    <w:rsid w:val="00C16189"/>
    <w:rsid w:val="00C20984"/>
    <w:rsid w:val="00C20E4F"/>
    <w:rsid w:val="00C219BC"/>
    <w:rsid w:val="00C23834"/>
    <w:rsid w:val="00C23C49"/>
    <w:rsid w:val="00C24CF0"/>
    <w:rsid w:val="00C2572B"/>
    <w:rsid w:val="00C2797A"/>
    <w:rsid w:val="00C27A15"/>
    <w:rsid w:val="00C3084D"/>
    <w:rsid w:val="00C30EAE"/>
    <w:rsid w:val="00C31E27"/>
    <w:rsid w:val="00C31EF9"/>
    <w:rsid w:val="00C327BC"/>
    <w:rsid w:val="00C371F8"/>
    <w:rsid w:val="00C40D47"/>
    <w:rsid w:val="00C43D57"/>
    <w:rsid w:val="00C4563A"/>
    <w:rsid w:val="00C45F7C"/>
    <w:rsid w:val="00C533E4"/>
    <w:rsid w:val="00C54AD2"/>
    <w:rsid w:val="00C61EBF"/>
    <w:rsid w:val="00C63678"/>
    <w:rsid w:val="00C655CA"/>
    <w:rsid w:val="00C66066"/>
    <w:rsid w:val="00C67782"/>
    <w:rsid w:val="00C67A55"/>
    <w:rsid w:val="00C67F4B"/>
    <w:rsid w:val="00C70A6A"/>
    <w:rsid w:val="00C7200A"/>
    <w:rsid w:val="00C73B5B"/>
    <w:rsid w:val="00C7417C"/>
    <w:rsid w:val="00C768B9"/>
    <w:rsid w:val="00C8268B"/>
    <w:rsid w:val="00C86601"/>
    <w:rsid w:val="00C90732"/>
    <w:rsid w:val="00C9218C"/>
    <w:rsid w:val="00C92298"/>
    <w:rsid w:val="00C923D7"/>
    <w:rsid w:val="00C928C8"/>
    <w:rsid w:val="00C93226"/>
    <w:rsid w:val="00C939C6"/>
    <w:rsid w:val="00C9483C"/>
    <w:rsid w:val="00C94F39"/>
    <w:rsid w:val="00C9507E"/>
    <w:rsid w:val="00C95781"/>
    <w:rsid w:val="00C96621"/>
    <w:rsid w:val="00C97BA5"/>
    <w:rsid w:val="00CA4DC2"/>
    <w:rsid w:val="00CA5D36"/>
    <w:rsid w:val="00CA7BF4"/>
    <w:rsid w:val="00CB0942"/>
    <w:rsid w:val="00CB1281"/>
    <w:rsid w:val="00CB1FB8"/>
    <w:rsid w:val="00CB20A9"/>
    <w:rsid w:val="00CB3A45"/>
    <w:rsid w:val="00CB4755"/>
    <w:rsid w:val="00CB505A"/>
    <w:rsid w:val="00CB5653"/>
    <w:rsid w:val="00CB59E0"/>
    <w:rsid w:val="00CB74BB"/>
    <w:rsid w:val="00CC008D"/>
    <w:rsid w:val="00CC0CE0"/>
    <w:rsid w:val="00CC1B1B"/>
    <w:rsid w:val="00CC23FE"/>
    <w:rsid w:val="00CC3273"/>
    <w:rsid w:val="00CC54F4"/>
    <w:rsid w:val="00CC70CC"/>
    <w:rsid w:val="00CC778C"/>
    <w:rsid w:val="00CD352F"/>
    <w:rsid w:val="00CD36C1"/>
    <w:rsid w:val="00CD3715"/>
    <w:rsid w:val="00CD4FC7"/>
    <w:rsid w:val="00CE1826"/>
    <w:rsid w:val="00CE18DF"/>
    <w:rsid w:val="00CE1949"/>
    <w:rsid w:val="00CE4C9F"/>
    <w:rsid w:val="00CE77EF"/>
    <w:rsid w:val="00CF10C9"/>
    <w:rsid w:val="00CF1D72"/>
    <w:rsid w:val="00CF1E88"/>
    <w:rsid w:val="00CF29C3"/>
    <w:rsid w:val="00CF449E"/>
    <w:rsid w:val="00CF4DAF"/>
    <w:rsid w:val="00CF618A"/>
    <w:rsid w:val="00CF665F"/>
    <w:rsid w:val="00D00100"/>
    <w:rsid w:val="00D00176"/>
    <w:rsid w:val="00D00B2B"/>
    <w:rsid w:val="00D02CE3"/>
    <w:rsid w:val="00D03FD4"/>
    <w:rsid w:val="00D0692F"/>
    <w:rsid w:val="00D12EE5"/>
    <w:rsid w:val="00D147A6"/>
    <w:rsid w:val="00D163FE"/>
    <w:rsid w:val="00D21B0D"/>
    <w:rsid w:val="00D220AA"/>
    <w:rsid w:val="00D227F2"/>
    <w:rsid w:val="00D22BAE"/>
    <w:rsid w:val="00D23491"/>
    <w:rsid w:val="00D241FA"/>
    <w:rsid w:val="00D26D62"/>
    <w:rsid w:val="00D26FE6"/>
    <w:rsid w:val="00D316C4"/>
    <w:rsid w:val="00D335F9"/>
    <w:rsid w:val="00D3456D"/>
    <w:rsid w:val="00D4128A"/>
    <w:rsid w:val="00D41B5E"/>
    <w:rsid w:val="00D42925"/>
    <w:rsid w:val="00D42E31"/>
    <w:rsid w:val="00D4356D"/>
    <w:rsid w:val="00D448E4"/>
    <w:rsid w:val="00D46E21"/>
    <w:rsid w:val="00D4787E"/>
    <w:rsid w:val="00D50DFA"/>
    <w:rsid w:val="00D51CEF"/>
    <w:rsid w:val="00D536DB"/>
    <w:rsid w:val="00D536F7"/>
    <w:rsid w:val="00D55872"/>
    <w:rsid w:val="00D55A01"/>
    <w:rsid w:val="00D56008"/>
    <w:rsid w:val="00D56548"/>
    <w:rsid w:val="00D60465"/>
    <w:rsid w:val="00D61883"/>
    <w:rsid w:val="00D61D63"/>
    <w:rsid w:val="00D62AD4"/>
    <w:rsid w:val="00D637EC"/>
    <w:rsid w:val="00D649E0"/>
    <w:rsid w:val="00D65EA0"/>
    <w:rsid w:val="00D66586"/>
    <w:rsid w:val="00D678B4"/>
    <w:rsid w:val="00D708C9"/>
    <w:rsid w:val="00D71065"/>
    <w:rsid w:val="00D7331A"/>
    <w:rsid w:val="00D736DF"/>
    <w:rsid w:val="00D74CC7"/>
    <w:rsid w:val="00D76EE2"/>
    <w:rsid w:val="00D80D4E"/>
    <w:rsid w:val="00D82FC1"/>
    <w:rsid w:val="00D83037"/>
    <w:rsid w:val="00D83275"/>
    <w:rsid w:val="00D83E11"/>
    <w:rsid w:val="00D83FB4"/>
    <w:rsid w:val="00D849C2"/>
    <w:rsid w:val="00D863E5"/>
    <w:rsid w:val="00D9365A"/>
    <w:rsid w:val="00D9464E"/>
    <w:rsid w:val="00D950CB"/>
    <w:rsid w:val="00D9549D"/>
    <w:rsid w:val="00D965CD"/>
    <w:rsid w:val="00D96D37"/>
    <w:rsid w:val="00D970EE"/>
    <w:rsid w:val="00DA18DE"/>
    <w:rsid w:val="00DA4563"/>
    <w:rsid w:val="00DA4574"/>
    <w:rsid w:val="00DA48A8"/>
    <w:rsid w:val="00DA558F"/>
    <w:rsid w:val="00DA5E7C"/>
    <w:rsid w:val="00DA61A8"/>
    <w:rsid w:val="00DA7D83"/>
    <w:rsid w:val="00DB0CCD"/>
    <w:rsid w:val="00DB100F"/>
    <w:rsid w:val="00DB1558"/>
    <w:rsid w:val="00DB1D1E"/>
    <w:rsid w:val="00DB1F84"/>
    <w:rsid w:val="00DB5E68"/>
    <w:rsid w:val="00DB6A19"/>
    <w:rsid w:val="00DC1CB5"/>
    <w:rsid w:val="00DC265C"/>
    <w:rsid w:val="00DC36A6"/>
    <w:rsid w:val="00DC41E4"/>
    <w:rsid w:val="00DC55DC"/>
    <w:rsid w:val="00DC5C15"/>
    <w:rsid w:val="00DC63EB"/>
    <w:rsid w:val="00DD18BA"/>
    <w:rsid w:val="00DD2616"/>
    <w:rsid w:val="00DD296A"/>
    <w:rsid w:val="00DD41FB"/>
    <w:rsid w:val="00DD492E"/>
    <w:rsid w:val="00DD4A95"/>
    <w:rsid w:val="00DD7D09"/>
    <w:rsid w:val="00DE22B4"/>
    <w:rsid w:val="00DE259E"/>
    <w:rsid w:val="00DE45EF"/>
    <w:rsid w:val="00DE6501"/>
    <w:rsid w:val="00DF1F1D"/>
    <w:rsid w:val="00DF4417"/>
    <w:rsid w:val="00DF460C"/>
    <w:rsid w:val="00DF5546"/>
    <w:rsid w:val="00DF679D"/>
    <w:rsid w:val="00DF6CA7"/>
    <w:rsid w:val="00E02274"/>
    <w:rsid w:val="00E03A78"/>
    <w:rsid w:val="00E061E2"/>
    <w:rsid w:val="00E07433"/>
    <w:rsid w:val="00E0772B"/>
    <w:rsid w:val="00E07BAB"/>
    <w:rsid w:val="00E12CA0"/>
    <w:rsid w:val="00E13F52"/>
    <w:rsid w:val="00E15082"/>
    <w:rsid w:val="00E15E82"/>
    <w:rsid w:val="00E15FAC"/>
    <w:rsid w:val="00E168DB"/>
    <w:rsid w:val="00E22377"/>
    <w:rsid w:val="00E230EE"/>
    <w:rsid w:val="00E231B2"/>
    <w:rsid w:val="00E24787"/>
    <w:rsid w:val="00E26CBC"/>
    <w:rsid w:val="00E30839"/>
    <w:rsid w:val="00E3179F"/>
    <w:rsid w:val="00E35ADD"/>
    <w:rsid w:val="00E36E5C"/>
    <w:rsid w:val="00E429B7"/>
    <w:rsid w:val="00E44D7C"/>
    <w:rsid w:val="00E47255"/>
    <w:rsid w:val="00E47BA6"/>
    <w:rsid w:val="00E5029D"/>
    <w:rsid w:val="00E5053C"/>
    <w:rsid w:val="00E52695"/>
    <w:rsid w:val="00E52E2F"/>
    <w:rsid w:val="00E57676"/>
    <w:rsid w:val="00E6060B"/>
    <w:rsid w:val="00E61B52"/>
    <w:rsid w:val="00E64DB1"/>
    <w:rsid w:val="00E65542"/>
    <w:rsid w:val="00E65727"/>
    <w:rsid w:val="00E65A6C"/>
    <w:rsid w:val="00E67980"/>
    <w:rsid w:val="00E70DF9"/>
    <w:rsid w:val="00E71037"/>
    <w:rsid w:val="00E7377C"/>
    <w:rsid w:val="00E77131"/>
    <w:rsid w:val="00E808A5"/>
    <w:rsid w:val="00E824E1"/>
    <w:rsid w:val="00E82724"/>
    <w:rsid w:val="00E84BE2"/>
    <w:rsid w:val="00E8520A"/>
    <w:rsid w:val="00E90680"/>
    <w:rsid w:val="00E921A3"/>
    <w:rsid w:val="00E927E7"/>
    <w:rsid w:val="00E93BB9"/>
    <w:rsid w:val="00E95883"/>
    <w:rsid w:val="00E97903"/>
    <w:rsid w:val="00EA23A2"/>
    <w:rsid w:val="00EA23E9"/>
    <w:rsid w:val="00EA4500"/>
    <w:rsid w:val="00EA5805"/>
    <w:rsid w:val="00EB1945"/>
    <w:rsid w:val="00EB6B8D"/>
    <w:rsid w:val="00EC1947"/>
    <w:rsid w:val="00EC1D06"/>
    <w:rsid w:val="00EC551D"/>
    <w:rsid w:val="00EC63FE"/>
    <w:rsid w:val="00EC6C41"/>
    <w:rsid w:val="00EC6E1D"/>
    <w:rsid w:val="00ED0CB7"/>
    <w:rsid w:val="00ED0F4C"/>
    <w:rsid w:val="00ED4215"/>
    <w:rsid w:val="00ED486B"/>
    <w:rsid w:val="00ED51D2"/>
    <w:rsid w:val="00ED79FA"/>
    <w:rsid w:val="00EE2A76"/>
    <w:rsid w:val="00EE30D4"/>
    <w:rsid w:val="00EE5765"/>
    <w:rsid w:val="00EF16C0"/>
    <w:rsid w:val="00EF5BC5"/>
    <w:rsid w:val="00F00D39"/>
    <w:rsid w:val="00F02637"/>
    <w:rsid w:val="00F043B4"/>
    <w:rsid w:val="00F05E69"/>
    <w:rsid w:val="00F05F2A"/>
    <w:rsid w:val="00F07FC6"/>
    <w:rsid w:val="00F10B2B"/>
    <w:rsid w:val="00F11102"/>
    <w:rsid w:val="00F13727"/>
    <w:rsid w:val="00F14099"/>
    <w:rsid w:val="00F140B0"/>
    <w:rsid w:val="00F1739C"/>
    <w:rsid w:val="00F1779A"/>
    <w:rsid w:val="00F20624"/>
    <w:rsid w:val="00F20BD6"/>
    <w:rsid w:val="00F26D55"/>
    <w:rsid w:val="00F27227"/>
    <w:rsid w:val="00F306D7"/>
    <w:rsid w:val="00F30D61"/>
    <w:rsid w:val="00F30E8F"/>
    <w:rsid w:val="00F32AD9"/>
    <w:rsid w:val="00F34C33"/>
    <w:rsid w:val="00F40558"/>
    <w:rsid w:val="00F40CC8"/>
    <w:rsid w:val="00F428E0"/>
    <w:rsid w:val="00F43C8E"/>
    <w:rsid w:val="00F45D84"/>
    <w:rsid w:val="00F45EE4"/>
    <w:rsid w:val="00F476C4"/>
    <w:rsid w:val="00F47E9B"/>
    <w:rsid w:val="00F5232E"/>
    <w:rsid w:val="00F52A65"/>
    <w:rsid w:val="00F53926"/>
    <w:rsid w:val="00F54006"/>
    <w:rsid w:val="00F633A7"/>
    <w:rsid w:val="00F63CB0"/>
    <w:rsid w:val="00F641CE"/>
    <w:rsid w:val="00F64982"/>
    <w:rsid w:val="00F66F37"/>
    <w:rsid w:val="00F67781"/>
    <w:rsid w:val="00F70B29"/>
    <w:rsid w:val="00F724D1"/>
    <w:rsid w:val="00F744E0"/>
    <w:rsid w:val="00F74BEB"/>
    <w:rsid w:val="00F74FAF"/>
    <w:rsid w:val="00F74FB6"/>
    <w:rsid w:val="00F76AC5"/>
    <w:rsid w:val="00F77F57"/>
    <w:rsid w:val="00F8023C"/>
    <w:rsid w:val="00F807B3"/>
    <w:rsid w:val="00F838EB"/>
    <w:rsid w:val="00F84149"/>
    <w:rsid w:val="00F905F4"/>
    <w:rsid w:val="00F93155"/>
    <w:rsid w:val="00F9364B"/>
    <w:rsid w:val="00F93D74"/>
    <w:rsid w:val="00F941AF"/>
    <w:rsid w:val="00F94797"/>
    <w:rsid w:val="00F9520B"/>
    <w:rsid w:val="00F965D0"/>
    <w:rsid w:val="00F97205"/>
    <w:rsid w:val="00F972A2"/>
    <w:rsid w:val="00F97CC3"/>
    <w:rsid w:val="00FA1E79"/>
    <w:rsid w:val="00FA3121"/>
    <w:rsid w:val="00FA3DAE"/>
    <w:rsid w:val="00FA4760"/>
    <w:rsid w:val="00FA51DC"/>
    <w:rsid w:val="00FB29DA"/>
    <w:rsid w:val="00FC0161"/>
    <w:rsid w:val="00FC023F"/>
    <w:rsid w:val="00FC1030"/>
    <w:rsid w:val="00FC590D"/>
    <w:rsid w:val="00FC71AD"/>
    <w:rsid w:val="00FC772B"/>
    <w:rsid w:val="00FD01D7"/>
    <w:rsid w:val="00FD0511"/>
    <w:rsid w:val="00FD32AA"/>
    <w:rsid w:val="00FD558B"/>
    <w:rsid w:val="00FD6925"/>
    <w:rsid w:val="00FE14A7"/>
    <w:rsid w:val="00FE28D8"/>
    <w:rsid w:val="00FE3237"/>
    <w:rsid w:val="00FE4D43"/>
    <w:rsid w:val="00FE6617"/>
    <w:rsid w:val="00FF0E2D"/>
    <w:rsid w:val="00FF3925"/>
    <w:rsid w:val="00FF45B0"/>
    <w:rsid w:val="00FF5E13"/>
    <w:rsid w:val="01255CE4"/>
    <w:rsid w:val="013E68DE"/>
    <w:rsid w:val="014C20D8"/>
    <w:rsid w:val="015B1A45"/>
    <w:rsid w:val="0181C2FE"/>
    <w:rsid w:val="020870FE"/>
    <w:rsid w:val="02A7DA13"/>
    <w:rsid w:val="0331EA51"/>
    <w:rsid w:val="03A12CD9"/>
    <w:rsid w:val="03E16471"/>
    <w:rsid w:val="03F85D65"/>
    <w:rsid w:val="03FE6F34"/>
    <w:rsid w:val="044BEF5D"/>
    <w:rsid w:val="0468A8F0"/>
    <w:rsid w:val="04BE0D7C"/>
    <w:rsid w:val="04C06AC7"/>
    <w:rsid w:val="04DBFE27"/>
    <w:rsid w:val="04DC3515"/>
    <w:rsid w:val="050CF89A"/>
    <w:rsid w:val="052F08BF"/>
    <w:rsid w:val="054ECF5C"/>
    <w:rsid w:val="056DA6BA"/>
    <w:rsid w:val="05E91CFB"/>
    <w:rsid w:val="0600B78C"/>
    <w:rsid w:val="0611DA01"/>
    <w:rsid w:val="062BE72D"/>
    <w:rsid w:val="063E5B8C"/>
    <w:rsid w:val="06601A67"/>
    <w:rsid w:val="0677CE88"/>
    <w:rsid w:val="06AE4D27"/>
    <w:rsid w:val="0728006A"/>
    <w:rsid w:val="07368718"/>
    <w:rsid w:val="0737BA64"/>
    <w:rsid w:val="077B4B36"/>
    <w:rsid w:val="0823ABCB"/>
    <w:rsid w:val="08548579"/>
    <w:rsid w:val="08F27B97"/>
    <w:rsid w:val="0901B2DB"/>
    <w:rsid w:val="097394D1"/>
    <w:rsid w:val="097B2F30"/>
    <w:rsid w:val="09A129CB"/>
    <w:rsid w:val="0A7DBC9F"/>
    <w:rsid w:val="0A7FE0C8"/>
    <w:rsid w:val="0AC13272"/>
    <w:rsid w:val="0BFAB5A2"/>
    <w:rsid w:val="0C16CA79"/>
    <w:rsid w:val="0C83727B"/>
    <w:rsid w:val="0C9F55AA"/>
    <w:rsid w:val="0CA1C6F1"/>
    <w:rsid w:val="0CD7C2D8"/>
    <w:rsid w:val="0D33D298"/>
    <w:rsid w:val="0D84D40A"/>
    <w:rsid w:val="0DDE33E6"/>
    <w:rsid w:val="0E2E8FA2"/>
    <w:rsid w:val="0E3AF521"/>
    <w:rsid w:val="0EC35DCB"/>
    <w:rsid w:val="0EE02640"/>
    <w:rsid w:val="0EE90003"/>
    <w:rsid w:val="0EED9246"/>
    <w:rsid w:val="0F03A709"/>
    <w:rsid w:val="0F325664"/>
    <w:rsid w:val="0F5D28D7"/>
    <w:rsid w:val="0F6E31D8"/>
    <w:rsid w:val="0F73E0D9"/>
    <w:rsid w:val="0FD8D7F4"/>
    <w:rsid w:val="1004AAD3"/>
    <w:rsid w:val="101DEB9D"/>
    <w:rsid w:val="11093918"/>
    <w:rsid w:val="1127DD78"/>
    <w:rsid w:val="113F83BE"/>
    <w:rsid w:val="11B64D98"/>
    <w:rsid w:val="11B79E4A"/>
    <w:rsid w:val="12056C6B"/>
    <w:rsid w:val="130185A8"/>
    <w:rsid w:val="131FA11B"/>
    <w:rsid w:val="1373A7D2"/>
    <w:rsid w:val="1374B70E"/>
    <w:rsid w:val="138A42BA"/>
    <w:rsid w:val="13B99FF8"/>
    <w:rsid w:val="13E601E5"/>
    <w:rsid w:val="1477A97D"/>
    <w:rsid w:val="14E90676"/>
    <w:rsid w:val="15022ED3"/>
    <w:rsid w:val="15896CA5"/>
    <w:rsid w:val="16538337"/>
    <w:rsid w:val="16668476"/>
    <w:rsid w:val="1666BB64"/>
    <w:rsid w:val="167DB39A"/>
    <w:rsid w:val="1695CF74"/>
    <w:rsid w:val="16BBCC98"/>
    <w:rsid w:val="16E79FFF"/>
    <w:rsid w:val="16FD67C0"/>
    <w:rsid w:val="1709F0B4"/>
    <w:rsid w:val="1776B7E1"/>
    <w:rsid w:val="18EC151B"/>
    <w:rsid w:val="1912A3C3"/>
    <w:rsid w:val="199DA03B"/>
    <w:rsid w:val="19B30DCC"/>
    <w:rsid w:val="1A2F48CE"/>
    <w:rsid w:val="1AA173EA"/>
    <w:rsid w:val="1AF17B42"/>
    <w:rsid w:val="1BAC6578"/>
    <w:rsid w:val="1C3C34F9"/>
    <w:rsid w:val="1D284B95"/>
    <w:rsid w:val="1D4759E1"/>
    <w:rsid w:val="1DE26EB7"/>
    <w:rsid w:val="1DEDAF45"/>
    <w:rsid w:val="1DF28AD9"/>
    <w:rsid w:val="1E15E76A"/>
    <w:rsid w:val="1E3C18F3"/>
    <w:rsid w:val="1EDF710B"/>
    <w:rsid w:val="1EE1F735"/>
    <w:rsid w:val="1F075269"/>
    <w:rsid w:val="1F78C202"/>
    <w:rsid w:val="1F8BCB0B"/>
    <w:rsid w:val="1FAE7E22"/>
    <w:rsid w:val="1FC6E053"/>
    <w:rsid w:val="1FD7E954"/>
    <w:rsid w:val="204BA7C3"/>
    <w:rsid w:val="205A1860"/>
    <w:rsid w:val="20E1DB2F"/>
    <w:rsid w:val="20F18D65"/>
    <w:rsid w:val="212C3942"/>
    <w:rsid w:val="21662405"/>
    <w:rsid w:val="21C6DA50"/>
    <w:rsid w:val="22576FC6"/>
    <w:rsid w:val="225FD051"/>
    <w:rsid w:val="22E1F51C"/>
    <w:rsid w:val="23147E27"/>
    <w:rsid w:val="2321C787"/>
    <w:rsid w:val="2326824C"/>
    <w:rsid w:val="2332DFFA"/>
    <w:rsid w:val="2333CCA7"/>
    <w:rsid w:val="234D1892"/>
    <w:rsid w:val="23ED1A04"/>
    <w:rsid w:val="2409E759"/>
    <w:rsid w:val="2465DA6E"/>
    <w:rsid w:val="249D47A6"/>
    <w:rsid w:val="250B0BD1"/>
    <w:rsid w:val="2537143D"/>
    <w:rsid w:val="254591C8"/>
    <w:rsid w:val="2554D008"/>
    <w:rsid w:val="255A225E"/>
    <w:rsid w:val="25A4BA73"/>
    <w:rsid w:val="25AEA078"/>
    <w:rsid w:val="260E7D0D"/>
    <w:rsid w:val="2712F5DA"/>
    <w:rsid w:val="27AB807B"/>
    <w:rsid w:val="27B23AF4"/>
    <w:rsid w:val="281E1AC2"/>
    <w:rsid w:val="28539C47"/>
    <w:rsid w:val="2876D45B"/>
    <w:rsid w:val="28AAA6C8"/>
    <w:rsid w:val="290212E0"/>
    <w:rsid w:val="29045326"/>
    <w:rsid w:val="29101886"/>
    <w:rsid w:val="29238833"/>
    <w:rsid w:val="298532EC"/>
    <w:rsid w:val="2998FDEC"/>
    <w:rsid w:val="2A5E3018"/>
    <w:rsid w:val="2A62C2DA"/>
    <w:rsid w:val="2A72579F"/>
    <w:rsid w:val="2A967DF7"/>
    <w:rsid w:val="2A9EF07A"/>
    <w:rsid w:val="2AC65E56"/>
    <w:rsid w:val="2B1245B1"/>
    <w:rsid w:val="2B157777"/>
    <w:rsid w:val="2B5E63FA"/>
    <w:rsid w:val="2BC9DB04"/>
    <w:rsid w:val="2BEBCEF8"/>
    <w:rsid w:val="2BEF50A2"/>
    <w:rsid w:val="2C05B678"/>
    <w:rsid w:val="2C61A9BA"/>
    <w:rsid w:val="2C6FAF05"/>
    <w:rsid w:val="2CDC894C"/>
    <w:rsid w:val="2D181EBD"/>
    <w:rsid w:val="2D3A532C"/>
    <w:rsid w:val="2D542B42"/>
    <w:rsid w:val="2D5E47F4"/>
    <w:rsid w:val="2E1ED046"/>
    <w:rsid w:val="2E2B74E4"/>
    <w:rsid w:val="2E7E19AD"/>
    <w:rsid w:val="2E9BF4EC"/>
    <w:rsid w:val="2EB49050"/>
    <w:rsid w:val="2ED31A3A"/>
    <w:rsid w:val="2F2F7585"/>
    <w:rsid w:val="2F8E47AA"/>
    <w:rsid w:val="2F994A7C"/>
    <w:rsid w:val="2F9FF697"/>
    <w:rsid w:val="2FC41CEF"/>
    <w:rsid w:val="2FD525F0"/>
    <w:rsid w:val="2FF92752"/>
    <w:rsid w:val="2FFD5E15"/>
    <w:rsid w:val="3027EF59"/>
    <w:rsid w:val="30574ABB"/>
    <w:rsid w:val="3095B1C8"/>
    <w:rsid w:val="30CF45B1"/>
    <w:rsid w:val="30E670FB"/>
    <w:rsid w:val="31325856"/>
    <w:rsid w:val="32012AA8"/>
    <w:rsid w:val="324A505E"/>
    <w:rsid w:val="327C774A"/>
    <w:rsid w:val="3298F95E"/>
    <w:rsid w:val="33046627"/>
    <w:rsid w:val="3326413B"/>
    <w:rsid w:val="3393DF8E"/>
    <w:rsid w:val="33CD528A"/>
    <w:rsid w:val="340185C4"/>
    <w:rsid w:val="340D5BE3"/>
    <w:rsid w:val="340E5802"/>
    <w:rsid w:val="342DA682"/>
    <w:rsid w:val="3454183F"/>
    <w:rsid w:val="34AC0ABB"/>
    <w:rsid w:val="34F4BF8A"/>
    <w:rsid w:val="35892D10"/>
    <w:rsid w:val="36543327"/>
    <w:rsid w:val="36CCF391"/>
    <w:rsid w:val="36D149B4"/>
    <w:rsid w:val="37657E32"/>
    <w:rsid w:val="376FFCCE"/>
    <w:rsid w:val="3791E01F"/>
    <w:rsid w:val="37B6EC5E"/>
    <w:rsid w:val="37C7629F"/>
    <w:rsid w:val="37FFEF30"/>
    <w:rsid w:val="3861A0B5"/>
    <w:rsid w:val="38875882"/>
    <w:rsid w:val="389ADA1F"/>
    <w:rsid w:val="392D94FF"/>
    <w:rsid w:val="3944D2A9"/>
    <w:rsid w:val="397997DB"/>
    <w:rsid w:val="398AC9CE"/>
    <w:rsid w:val="398D2E60"/>
    <w:rsid w:val="39989D82"/>
    <w:rsid w:val="39CFDC1C"/>
    <w:rsid w:val="39F60DA5"/>
    <w:rsid w:val="3A68A7EC"/>
    <w:rsid w:val="3A7D9986"/>
    <w:rsid w:val="3AC9F803"/>
    <w:rsid w:val="3AD366A5"/>
    <w:rsid w:val="3AE1AD1F"/>
    <w:rsid w:val="3AF70591"/>
    <w:rsid w:val="3AF95D1D"/>
    <w:rsid w:val="3B1EC903"/>
    <w:rsid w:val="3B797BD5"/>
    <w:rsid w:val="3C06CE93"/>
    <w:rsid w:val="3C8DC055"/>
    <w:rsid w:val="3C92008D"/>
    <w:rsid w:val="3CAA4C4E"/>
    <w:rsid w:val="3CD5B21C"/>
    <w:rsid w:val="3CDC2D97"/>
    <w:rsid w:val="3CE501EF"/>
    <w:rsid w:val="3D918B12"/>
    <w:rsid w:val="3DAD920E"/>
    <w:rsid w:val="3E12A15F"/>
    <w:rsid w:val="3E848DD7"/>
    <w:rsid w:val="3EB193B9"/>
    <w:rsid w:val="3EB3DF1E"/>
    <w:rsid w:val="3EEEF466"/>
    <w:rsid w:val="3F0760D8"/>
    <w:rsid w:val="3F15A752"/>
    <w:rsid w:val="3F5186A0"/>
    <w:rsid w:val="3F71EA0B"/>
    <w:rsid w:val="3F748809"/>
    <w:rsid w:val="3F85A75F"/>
    <w:rsid w:val="3FB0AF27"/>
    <w:rsid w:val="3FC2DEC4"/>
    <w:rsid w:val="401C493D"/>
    <w:rsid w:val="40780333"/>
    <w:rsid w:val="40BBB254"/>
    <w:rsid w:val="40D4AAD9"/>
    <w:rsid w:val="417F5A60"/>
    <w:rsid w:val="41BEF596"/>
    <w:rsid w:val="41C9A4CC"/>
    <w:rsid w:val="41F21E20"/>
    <w:rsid w:val="42A5058E"/>
    <w:rsid w:val="42A8FB22"/>
    <w:rsid w:val="42F746BF"/>
    <w:rsid w:val="4312ABC4"/>
    <w:rsid w:val="434DDD45"/>
    <w:rsid w:val="438BE19F"/>
    <w:rsid w:val="438CD53A"/>
    <w:rsid w:val="43DC8A0F"/>
    <w:rsid w:val="43F61A13"/>
    <w:rsid w:val="4423F6CF"/>
    <w:rsid w:val="447124C1"/>
    <w:rsid w:val="448CBD4A"/>
    <w:rsid w:val="449B03C4"/>
    <w:rsid w:val="4518083E"/>
    <w:rsid w:val="457DBD96"/>
    <w:rsid w:val="45B4BC14"/>
    <w:rsid w:val="46095BBF"/>
    <w:rsid w:val="4615BF24"/>
    <w:rsid w:val="46194B12"/>
    <w:rsid w:val="46B155C8"/>
    <w:rsid w:val="46E3C714"/>
    <w:rsid w:val="476B6344"/>
    <w:rsid w:val="4798F83E"/>
    <w:rsid w:val="47AEA229"/>
    <w:rsid w:val="47C5D14D"/>
    <w:rsid w:val="47D6DA4E"/>
    <w:rsid w:val="47FA8984"/>
    <w:rsid w:val="48258BFA"/>
    <w:rsid w:val="484FA900"/>
    <w:rsid w:val="48A8141D"/>
    <w:rsid w:val="490733A5"/>
    <w:rsid w:val="49339592"/>
    <w:rsid w:val="4958309D"/>
    <w:rsid w:val="495C9450"/>
    <w:rsid w:val="49CF9B0B"/>
    <w:rsid w:val="49DD846D"/>
    <w:rsid w:val="4A112580"/>
    <w:rsid w:val="4A9583B8"/>
    <w:rsid w:val="4AB39B94"/>
    <w:rsid w:val="4AC9B6F2"/>
    <w:rsid w:val="4AE0E616"/>
    <w:rsid w:val="4B011B47"/>
    <w:rsid w:val="4B04E873"/>
    <w:rsid w:val="4B0E7B10"/>
    <w:rsid w:val="4B446950"/>
    <w:rsid w:val="4B4BA4CF"/>
    <w:rsid w:val="4B704D14"/>
    <w:rsid w:val="4B9D702D"/>
    <w:rsid w:val="4BACF5E1"/>
    <w:rsid w:val="4C11B22E"/>
    <w:rsid w:val="4D1C6455"/>
    <w:rsid w:val="4D6359FD"/>
    <w:rsid w:val="4D9F0A83"/>
    <w:rsid w:val="4DB203DF"/>
    <w:rsid w:val="4DC9DCF6"/>
    <w:rsid w:val="4E2C7C53"/>
    <w:rsid w:val="4E2D3D9B"/>
    <w:rsid w:val="4E6B9170"/>
    <w:rsid w:val="4E8D291F"/>
    <w:rsid w:val="4F041C11"/>
    <w:rsid w:val="4F20561F"/>
    <w:rsid w:val="4F3CCB3F"/>
    <w:rsid w:val="4F41FE21"/>
    <w:rsid w:val="504CAAEC"/>
    <w:rsid w:val="5090A9D9"/>
    <w:rsid w:val="50C182D1"/>
    <w:rsid w:val="50ED6420"/>
    <w:rsid w:val="511570AA"/>
    <w:rsid w:val="513060FD"/>
    <w:rsid w:val="51C86D5A"/>
    <w:rsid w:val="5259D846"/>
    <w:rsid w:val="52A19F02"/>
    <w:rsid w:val="53116D99"/>
    <w:rsid w:val="53A1A1F0"/>
    <w:rsid w:val="540E130E"/>
    <w:rsid w:val="5465BB2F"/>
    <w:rsid w:val="547BABD0"/>
    <w:rsid w:val="547D73AD"/>
    <w:rsid w:val="54969489"/>
    <w:rsid w:val="549E805E"/>
    <w:rsid w:val="54EF583B"/>
    <w:rsid w:val="554CEBD8"/>
    <w:rsid w:val="55869725"/>
    <w:rsid w:val="5589A940"/>
    <w:rsid w:val="55B1C886"/>
    <w:rsid w:val="5629BFDB"/>
    <w:rsid w:val="562BB036"/>
    <w:rsid w:val="563E596A"/>
    <w:rsid w:val="56693423"/>
    <w:rsid w:val="568A98D0"/>
    <w:rsid w:val="569C18F3"/>
    <w:rsid w:val="56D99A78"/>
    <w:rsid w:val="56FBB210"/>
    <w:rsid w:val="57A1F1FA"/>
    <w:rsid w:val="57C2C32E"/>
    <w:rsid w:val="57EDF386"/>
    <w:rsid w:val="58CD2851"/>
    <w:rsid w:val="59092323"/>
    <w:rsid w:val="59227015"/>
    <w:rsid w:val="592BD4A4"/>
    <w:rsid w:val="592CA866"/>
    <w:rsid w:val="593348DA"/>
    <w:rsid w:val="5971F181"/>
    <w:rsid w:val="598A80F7"/>
    <w:rsid w:val="59C4FC19"/>
    <w:rsid w:val="59CED822"/>
    <w:rsid w:val="59E87979"/>
    <w:rsid w:val="5A280AE4"/>
    <w:rsid w:val="5A2EEBC7"/>
    <w:rsid w:val="5A89DACC"/>
    <w:rsid w:val="5B0BC0F5"/>
    <w:rsid w:val="5B4B2263"/>
    <w:rsid w:val="5B91C749"/>
    <w:rsid w:val="5BACB3D5"/>
    <w:rsid w:val="5BC45B16"/>
    <w:rsid w:val="5CA112AA"/>
    <w:rsid w:val="5D0A1D29"/>
    <w:rsid w:val="5D210DAB"/>
    <w:rsid w:val="5DE8050D"/>
    <w:rsid w:val="5DECC2B4"/>
    <w:rsid w:val="5E5B11B2"/>
    <w:rsid w:val="5EB3E6E7"/>
    <w:rsid w:val="5EBB2053"/>
    <w:rsid w:val="5ECC580C"/>
    <w:rsid w:val="5EE5041B"/>
    <w:rsid w:val="5F837D78"/>
    <w:rsid w:val="5FA98948"/>
    <w:rsid w:val="5FCF64D3"/>
    <w:rsid w:val="5FE368AC"/>
    <w:rsid w:val="5FF617BF"/>
    <w:rsid w:val="600AA4B2"/>
    <w:rsid w:val="602C552F"/>
    <w:rsid w:val="6035A39F"/>
    <w:rsid w:val="6048E128"/>
    <w:rsid w:val="609034B8"/>
    <w:rsid w:val="6097CC39"/>
    <w:rsid w:val="60CC0C53"/>
    <w:rsid w:val="61301FEC"/>
    <w:rsid w:val="613CA56A"/>
    <w:rsid w:val="617032FC"/>
    <w:rsid w:val="61C7EEA2"/>
    <w:rsid w:val="625FF446"/>
    <w:rsid w:val="630746C4"/>
    <w:rsid w:val="631905F6"/>
    <w:rsid w:val="632679D5"/>
    <w:rsid w:val="6363F5F1"/>
    <w:rsid w:val="6367239A"/>
    <w:rsid w:val="63B47E36"/>
    <w:rsid w:val="63DEF378"/>
    <w:rsid w:val="63E26657"/>
    <w:rsid w:val="64227793"/>
    <w:rsid w:val="643A2BB4"/>
    <w:rsid w:val="64750A0E"/>
    <w:rsid w:val="64959A7F"/>
    <w:rsid w:val="64F3B162"/>
    <w:rsid w:val="6506E98F"/>
    <w:rsid w:val="6564CB40"/>
    <w:rsid w:val="65687AD5"/>
    <w:rsid w:val="6590B2FA"/>
    <w:rsid w:val="65BE47F4"/>
    <w:rsid w:val="663A7FDF"/>
    <w:rsid w:val="6672A2A3"/>
    <w:rsid w:val="66DD984A"/>
    <w:rsid w:val="66F1E549"/>
    <w:rsid w:val="670DB8DD"/>
    <w:rsid w:val="6724FBA4"/>
    <w:rsid w:val="67B8F90C"/>
    <w:rsid w:val="67D76CF9"/>
    <w:rsid w:val="680840F7"/>
    <w:rsid w:val="683D5744"/>
    <w:rsid w:val="68AD64F7"/>
    <w:rsid w:val="68D95CA9"/>
    <w:rsid w:val="68E06D06"/>
    <w:rsid w:val="68F99F79"/>
    <w:rsid w:val="6970CF68"/>
    <w:rsid w:val="69E2089B"/>
    <w:rsid w:val="6A1E62E5"/>
    <w:rsid w:val="6A25EF15"/>
    <w:rsid w:val="6A69D31E"/>
    <w:rsid w:val="6AC8FF31"/>
    <w:rsid w:val="6AE3C695"/>
    <w:rsid w:val="6B031610"/>
    <w:rsid w:val="6B1ACA31"/>
    <w:rsid w:val="6B54A9B7"/>
    <w:rsid w:val="6B5EA7C2"/>
    <w:rsid w:val="6B8964A3"/>
    <w:rsid w:val="6B8B225C"/>
    <w:rsid w:val="6BA1C6D4"/>
    <w:rsid w:val="6BA9B03D"/>
    <w:rsid w:val="6BCF25DB"/>
    <w:rsid w:val="6C14611B"/>
    <w:rsid w:val="6CBDF4BD"/>
    <w:rsid w:val="6D09DC18"/>
    <w:rsid w:val="6D1F8603"/>
    <w:rsid w:val="6D363E05"/>
    <w:rsid w:val="6DA90E3F"/>
    <w:rsid w:val="6DACF8B5"/>
    <w:rsid w:val="6DEA98B4"/>
    <w:rsid w:val="6E3CC3A4"/>
    <w:rsid w:val="6E526AF3"/>
    <w:rsid w:val="6E842EB7"/>
    <w:rsid w:val="6EC10565"/>
    <w:rsid w:val="6EFD5BD5"/>
    <w:rsid w:val="6F1A4D3D"/>
    <w:rsid w:val="6F2B3F21"/>
    <w:rsid w:val="6F3D7B2F"/>
    <w:rsid w:val="6F489563"/>
    <w:rsid w:val="6F84872C"/>
    <w:rsid w:val="6F89628A"/>
    <w:rsid w:val="6FD3FE87"/>
    <w:rsid w:val="6FDCF7CE"/>
    <w:rsid w:val="6FE5EFD0"/>
    <w:rsid w:val="70226E8E"/>
    <w:rsid w:val="70EB69D3"/>
    <w:rsid w:val="70FF865F"/>
    <w:rsid w:val="7108C1E8"/>
    <w:rsid w:val="711D53C3"/>
    <w:rsid w:val="7133B999"/>
    <w:rsid w:val="71835B54"/>
    <w:rsid w:val="719AD9E1"/>
    <w:rsid w:val="71E8E8FD"/>
    <w:rsid w:val="7220DE4C"/>
    <w:rsid w:val="72280189"/>
    <w:rsid w:val="7230C4F0"/>
    <w:rsid w:val="72DBE3C9"/>
    <w:rsid w:val="73229492"/>
    <w:rsid w:val="738B5B0D"/>
    <w:rsid w:val="738CCE4E"/>
    <w:rsid w:val="73E7F842"/>
    <w:rsid w:val="740E1C09"/>
    <w:rsid w:val="7489359A"/>
    <w:rsid w:val="7490CFF9"/>
    <w:rsid w:val="74BE64F3"/>
    <w:rsid w:val="74BFB439"/>
    <w:rsid w:val="74F46B75"/>
    <w:rsid w:val="74FB2E28"/>
    <w:rsid w:val="752350BC"/>
    <w:rsid w:val="7560196D"/>
    <w:rsid w:val="759D432C"/>
    <w:rsid w:val="759EE23D"/>
    <w:rsid w:val="75A051CA"/>
    <w:rsid w:val="763DA95B"/>
    <w:rsid w:val="76716478"/>
    <w:rsid w:val="76A61CAF"/>
    <w:rsid w:val="76D500EF"/>
    <w:rsid w:val="76F2040A"/>
    <w:rsid w:val="77B9EA0D"/>
    <w:rsid w:val="77F031BE"/>
    <w:rsid w:val="78714872"/>
    <w:rsid w:val="78BD2FCD"/>
    <w:rsid w:val="78E42687"/>
    <w:rsid w:val="797B283F"/>
    <w:rsid w:val="7991F02E"/>
    <w:rsid w:val="79DB6466"/>
    <w:rsid w:val="7A51DCF1"/>
    <w:rsid w:val="7AC36CB6"/>
    <w:rsid w:val="7AE38584"/>
    <w:rsid w:val="7AE90911"/>
    <w:rsid w:val="7B15B156"/>
    <w:rsid w:val="7B70F754"/>
    <w:rsid w:val="7BE60503"/>
    <w:rsid w:val="7C93C282"/>
    <w:rsid w:val="7D88A19D"/>
    <w:rsid w:val="7D927B51"/>
    <w:rsid w:val="7DA0002F"/>
    <w:rsid w:val="7E36B620"/>
    <w:rsid w:val="7E4D6E22"/>
    <w:rsid w:val="7EDB46B4"/>
    <w:rsid w:val="7F058872"/>
    <w:rsid w:val="7F1566A7"/>
    <w:rsid w:val="7F45F291"/>
    <w:rsid w:val="7F5872E1"/>
    <w:rsid w:val="7F5EB92D"/>
    <w:rsid w:val="7FA9F0CF"/>
    <w:rsid w:val="7FB9F386"/>
    <w:rsid w:val="7FDCD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692883"/>
  <w15:chartTrackingRefBased/>
  <w15:docId w15:val="{BF6136F2-6E2B-4EA3-9A90-4B4BA822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C2"/>
    <w:pPr>
      <w:spacing w:before="120" w:after="0" w:line="240" w:lineRule="auto"/>
    </w:pPr>
    <w:rPr>
      <w:rFonts w:eastAsiaTheme="minorEastAsia"/>
      <w:szCs w:val="24"/>
    </w:rPr>
  </w:style>
  <w:style w:type="paragraph" w:styleId="Heading1">
    <w:name w:val="heading 1"/>
    <w:basedOn w:val="Normal"/>
    <w:next w:val="Normal"/>
    <w:link w:val="Heading1Char"/>
    <w:uiPriority w:val="9"/>
    <w:qFormat/>
    <w:rsid w:val="000D1297"/>
    <w:pPr>
      <w:numPr>
        <w:numId w:val="11"/>
      </w:numPr>
      <w:spacing w:before="240" w:after="240"/>
      <w:jc w:val="both"/>
      <w:outlineLvl w:val="0"/>
    </w:pPr>
    <w:rPr>
      <w:rFonts w:eastAsiaTheme="minorHAnsi"/>
      <w:b/>
      <w:bCs/>
      <w:noProof/>
      <w:color w:val="5A5753"/>
      <w:sz w:val="32"/>
      <w:szCs w:val="32"/>
    </w:rPr>
  </w:style>
  <w:style w:type="paragraph" w:styleId="Heading2">
    <w:name w:val="heading 2"/>
    <w:basedOn w:val="Normal"/>
    <w:next w:val="Normal"/>
    <w:link w:val="Heading2Char"/>
    <w:uiPriority w:val="9"/>
    <w:qFormat/>
    <w:rsid w:val="000D1297"/>
    <w:pPr>
      <w:keepNext/>
      <w:numPr>
        <w:ilvl w:val="1"/>
        <w:numId w:val="11"/>
      </w:numPr>
      <w:jc w:val="both"/>
      <w:outlineLvl w:val="1"/>
    </w:pPr>
    <w:rPr>
      <w:rFonts w:eastAsiaTheme="minorHAnsi"/>
      <w:b/>
      <w:bCs/>
      <w:color w:val="5A5753"/>
      <w:sz w:val="28"/>
      <w:szCs w:val="28"/>
    </w:rPr>
  </w:style>
  <w:style w:type="paragraph" w:styleId="Heading3">
    <w:name w:val="heading 3"/>
    <w:basedOn w:val="Normal"/>
    <w:next w:val="Normal"/>
    <w:link w:val="Heading3Char"/>
    <w:uiPriority w:val="9"/>
    <w:qFormat/>
    <w:rsid w:val="006610F6"/>
    <w:pPr>
      <w:keepNext/>
      <w:numPr>
        <w:ilvl w:val="2"/>
        <w:numId w:val="11"/>
      </w:numPr>
      <w:jc w:val="both"/>
      <w:outlineLvl w:val="2"/>
    </w:pPr>
    <w:rPr>
      <w:rFonts w:eastAsiaTheme="minorHAnsi"/>
      <w:b/>
      <w:bCs/>
      <w:color w:val="5A5753"/>
    </w:rPr>
  </w:style>
  <w:style w:type="paragraph" w:styleId="Heading4">
    <w:name w:val="heading 4"/>
    <w:basedOn w:val="Normal"/>
    <w:next w:val="Normal"/>
    <w:link w:val="Heading4Char"/>
    <w:uiPriority w:val="9"/>
    <w:rsid w:val="000D1297"/>
    <w:pPr>
      <w:keepNext/>
      <w:keepLines/>
      <w:spacing w:before="40"/>
      <w:jc w:val="both"/>
      <w:outlineLvl w:val="3"/>
    </w:pPr>
    <w:rPr>
      <w:rFonts w:asciiTheme="majorHAnsi" w:eastAsiaTheme="majorEastAsia" w:hAnsiTheme="majorHAnsi" w:cstheme="majorBidi"/>
      <w:i/>
      <w:iCs/>
      <w:color w:val="2F5496" w:themeColor="accent1" w:themeShade="BF"/>
      <w:szCs w:val="22"/>
    </w:rPr>
  </w:style>
  <w:style w:type="paragraph" w:styleId="Heading6">
    <w:name w:val="heading 6"/>
    <w:aliases w:val="Appendix L1"/>
    <w:basedOn w:val="Normal"/>
    <w:next w:val="Normal"/>
    <w:link w:val="Heading6Char"/>
    <w:uiPriority w:val="9"/>
    <w:unhideWhenUsed/>
    <w:qFormat/>
    <w:rsid w:val="002A12B5"/>
    <w:pPr>
      <w:keepNext/>
      <w:keepLines/>
      <w:numPr>
        <w:numId w:val="5"/>
      </w:numPr>
      <w:spacing w:before="240" w:after="240"/>
      <w:jc w:val="both"/>
      <w:outlineLvl w:val="5"/>
    </w:pPr>
    <w:rPr>
      <w:rFonts w:eastAsiaTheme="majorEastAsia" w:cstheme="minorHAnsi"/>
      <w:b/>
      <w:bCs/>
      <w:color w:val="5A5753"/>
      <w:sz w:val="32"/>
      <w:szCs w:val="32"/>
    </w:rPr>
  </w:style>
  <w:style w:type="paragraph" w:styleId="Heading7">
    <w:name w:val="heading 7"/>
    <w:aliases w:val="Appendix L2"/>
    <w:basedOn w:val="Normal"/>
    <w:next w:val="Normal"/>
    <w:link w:val="Heading7Char"/>
    <w:uiPriority w:val="9"/>
    <w:unhideWhenUsed/>
    <w:qFormat/>
    <w:rsid w:val="002A12B5"/>
    <w:pPr>
      <w:keepNext/>
      <w:keepLines/>
      <w:numPr>
        <w:ilvl w:val="1"/>
        <w:numId w:val="5"/>
      </w:numPr>
      <w:jc w:val="both"/>
      <w:outlineLvl w:val="6"/>
    </w:pPr>
    <w:rPr>
      <w:rFonts w:eastAsiaTheme="majorEastAsia" w:cstheme="minorHAnsi"/>
      <w:b/>
      <w:bCs/>
      <w:color w:val="5A5753"/>
      <w:sz w:val="28"/>
      <w:szCs w:val="28"/>
    </w:rPr>
  </w:style>
  <w:style w:type="paragraph" w:styleId="Heading8">
    <w:name w:val="heading 8"/>
    <w:aliases w:val="Appendix L3"/>
    <w:basedOn w:val="Normal"/>
    <w:next w:val="Normal"/>
    <w:link w:val="Heading8Char"/>
    <w:uiPriority w:val="9"/>
    <w:unhideWhenUsed/>
    <w:qFormat/>
    <w:rsid w:val="002A12B5"/>
    <w:pPr>
      <w:keepNext/>
      <w:keepLines/>
      <w:numPr>
        <w:ilvl w:val="2"/>
        <w:numId w:val="5"/>
      </w:numPr>
      <w:jc w:val="both"/>
      <w:outlineLvl w:val="7"/>
    </w:pPr>
    <w:rPr>
      <w:rFonts w:eastAsiaTheme="majorEastAsia" w:cstheme="minorHAnsi"/>
      <w:b/>
      <w:bCs/>
      <w:color w:val="5A5753"/>
    </w:rPr>
  </w:style>
  <w:style w:type="paragraph" w:styleId="Heading9">
    <w:name w:val="heading 9"/>
    <w:aliases w:val="Appendix L4"/>
    <w:basedOn w:val="Normal"/>
    <w:next w:val="Normal"/>
    <w:link w:val="Heading9Char"/>
    <w:uiPriority w:val="9"/>
    <w:unhideWhenUsed/>
    <w:qFormat/>
    <w:rsid w:val="00652FB4"/>
    <w:pPr>
      <w:keepNext/>
      <w:keepLines/>
      <w:numPr>
        <w:ilvl w:val="3"/>
        <w:numId w:val="5"/>
      </w:numPr>
      <w:spacing w:before="40"/>
      <w:ind w:left="0" w:firstLine="0"/>
      <w:jc w:val="both"/>
      <w:outlineLvl w:val="8"/>
    </w:pPr>
    <w:rPr>
      <w:rFonts w:asciiTheme="majorHAnsi" w:eastAsiaTheme="majorEastAsia" w:hAnsiTheme="majorHAnsi"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1,Recommendation,List Paragraph11"/>
    <w:basedOn w:val="Normal"/>
    <w:link w:val="ListParagraphChar"/>
    <w:uiPriority w:val="34"/>
    <w:qFormat/>
    <w:rsid w:val="00743072"/>
    <w:pPr>
      <w:ind w:left="720"/>
      <w:contextualSpacing/>
      <w:jc w:val="both"/>
    </w:pPr>
    <w:rPr>
      <w:rFonts w:eastAsiaTheme="minorHAnsi"/>
      <w:szCs w:val="22"/>
    </w:rPr>
  </w:style>
  <w:style w:type="paragraph" w:customStyle="1" w:styleId="Bullet">
    <w:name w:val="Bullet"/>
    <w:basedOn w:val="ListParagraph"/>
    <w:uiPriority w:val="1"/>
    <w:qFormat/>
    <w:rsid w:val="00CA4DC2"/>
    <w:pPr>
      <w:numPr>
        <w:numId w:val="2"/>
      </w:numPr>
      <w:spacing w:before="60"/>
      <w:ind w:left="714" w:hanging="357"/>
      <w:contextualSpacing w:val="0"/>
    </w:pPr>
    <w:rPr>
      <w:noProof/>
    </w:rPr>
  </w:style>
  <w:style w:type="paragraph" w:customStyle="1" w:styleId="Number">
    <w:name w:val="Number"/>
    <w:basedOn w:val="ListParagraph"/>
    <w:uiPriority w:val="1"/>
    <w:qFormat/>
    <w:rsid w:val="00DD18BA"/>
    <w:pPr>
      <w:numPr>
        <w:numId w:val="3"/>
      </w:numPr>
    </w:pPr>
    <w:rPr>
      <w:noProof/>
    </w:rPr>
  </w:style>
  <w:style w:type="character" w:customStyle="1" w:styleId="Heading1Char">
    <w:name w:val="Heading 1 Char"/>
    <w:basedOn w:val="DefaultParagraphFont"/>
    <w:link w:val="Heading1"/>
    <w:uiPriority w:val="9"/>
    <w:rsid w:val="000D1297"/>
    <w:rPr>
      <w:b/>
      <w:bCs/>
      <w:noProof/>
      <w:color w:val="5A5753"/>
      <w:sz w:val="32"/>
      <w:szCs w:val="32"/>
    </w:rPr>
  </w:style>
  <w:style w:type="character" w:customStyle="1" w:styleId="Heading2Char">
    <w:name w:val="Heading 2 Char"/>
    <w:basedOn w:val="DefaultParagraphFont"/>
    <w:link w:val="Heading2"/>
    <w:uiPriority w:val="9"/>
    <w:rsid w:val="000D1297"/>
    <w:rPr>
      <w:b/>
      <w:bCs/>
      <w:color w:val="5A5753"/>
      <w:sz w:val="28"/>
      <w:szCs w:val="28"/>
    </w:rPr>
  </w:style>
  <w:style w:type="character" w:customStyle="1" w:styleId="Heading3Char">
    <w:name w:val="Heading 3 Char"/>
    <w:basedOn w:val="DefaultParagraphFont"/>
    <w:link w:val="Heading3"/>
    <w:uiPriority w:val="9"/>
    <w:rsid w:val="006610F6"/>
    <w:rPr>
      <w:b/>
      <w:bCs/>
      <w:color w:val="5A5753"/>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4"/>
      </w:numPr>
    </w:pPr>
  </w:style>
  <w:style w:type="table" w:customStyle="1" w:styleId="ViaStrada">
    <w:name w:val="ViaStrada"/>
    <w:basedOn w:val="TableGridLight"/>
    <w:uiPriority w:val="99"/>
    <w:rsid w:val="0079704C"/>
    <w:pPr>
      <w:keepNext/>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aliases w:val="Table caption"/>
    <w:basedOn w:val="Normal"/>
    <w:next w:val="Normal"/>
    <w:link w:val="CaptionChar"/>
    <w:uiPriority w:val="24"/>
    <w:qFormat/>
    <w:rsid w:val="000D1297"/>
    <w:pPr>
      <w:jc w:val="center"/>
    </w:pPr>
    <w:rPr>
      <w:rFonts w:eastAsiaTheme="minorHAnsi"/>
      <w:b/>
      <w:bCs/>
      <w:i/>
      <w:iCs/>
      <w:sz w:val="20"/>
      <w:szCs w:val="20"/>
    </w:rPr>
  </w:style>
  <w:style w:type="paragraph" w:styleId="FootnoteText">
    <w:name w:val="footnote text"/>
    <w:basedOn w:val="Normal"/>
    <w:link w:val="FootnoteTextChar"/>
    <w:uiPriority w:val="99"/>
    <w:semiHidden/>
    <w:unhideWhenUsed/>
    <w:rsid w:val="000B50C0"/>
    <w:pPr>
      <w:jc w:val="both"/>
    </w:pPr>
    <w:rPr>
      <w:rFonts w:eastAsiaTheme="minorHAnsi"/>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jc w:val="both"/>
    </w:pPr>
    <w:rPr>
      <w:rFonts w:eastAsiaTheme="minorHAnsi"/>
      <w:szCs w:val="22"/>
    </w:r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jc w:val="both"/>
    </w:pPr>
    <w:rPr>
      <w:rFonts w:eastAsiaTheme="minorHAnsi"/>
      <w:szCs w:val="22"/>
    </w:r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styleId="TOC2">
    <w:name w:val="toc 2"/>
    <w:basedOn w:val="Normal"/>
    <w:next w:val="Normal"/>
    <w:autoRedefine/>
    <w:uiPriority w:val="39"/>
    <w:rsid w:val="0019423E"/>
    <w:pPr>
      <w:spacing w:after="100"/>
      <w:ind w:left="220"/>
      <w:jc w:val="both"/>
    </w:pPr>
    <w:rPr>
      <w:rFonts w:eastAsiaTheme="minorHAnsi"/>
      <w:szCs w:val="22"/>
    </w:rPr>
  </w:style>
  <w:style w:type="paragraph" w:styleId="TOC1">
    <w:name w:val="toc 1"/>
    <w:basedOn w:val="Normal"/>
    <w:next w:val="Normal"/>
    <w:autoRedefine/>
    <w:uiPriority w:val="39"/>
    <w:rsid w:val="0019423E"/>
    <w:pPr>
      <w:tabs>
        <w:tab w:val="left" w:pos="440"/>
        <w:tab w:val="right" w:leader="dot" w:pos="9628"/>
      </w:tabs>
      <w:spacing w:after="100"/>
      <w:jc w:val="both"/>
    </w:pPr>
    <w:rPr>
      <w:rFonts w:eastAsiaTheme="minorHAnsi"/>
      <w:noProof/>
      <w:szCs w:val="22"/>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jc w:val="both"/>
    </w:pPr>
    <w:rPr>
      <w:rFonts w:eastAsiaTheme="minorHAnsi"/>
      <w:szCs w:val="22"/>
    </w:rPr>
  </w:style>
  <w:style w:type="paragraph" w:styleId="TOCHeading">
    <w:name w:val="TOC Heading"/>
    <w:basedOn w:val="Heading1"/>
    <w:next w:val="Normal"/>
    <w:uiPriority w:val="39"/>
    <w:unhideWhenUsed/>
    <w:qFormat/>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unhideWhenUsed/>
    <w:rsid w:val="008E4435"/>
    <w:rPr>
      <w:color w:val="605E5C"/>
      <w:shd w:val="clear" w:color="auto" w:fill="E1DFDD"/>
    </w:rPr>
  </w:style>
  <w:style w:type="paragraph" w:styleId="BalloonText">
    <w:name w:val="Balloon Text"/>
    <w:basedOn w:val="Normal"/>
    <w:link w:val="BalloonTextChar"/>
    <w:uiPriority w:val="99"/>
    <w:semiHidden/>
    <w:unhideWhenUsed/>
    <w:rsid w:val="000D1297"/>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D1297"/>
    <w:rPr>
      <w:rFonts w:ascii="Segoe UI" w:hAnsi="Segoe UI" w:cs="Segoe UI"/>
      <w:sz w:val="18"/>
      <w:szCs w:val="18"/>
    </w:rPr>
  </w:style>
  <w:style w:type="character" w:customStyle="1" w:styleId="Heading4Char">
    <w:name w:val="Heading 4 Char"/>
    <w:basedOn w:val="DefaultParagraphFont"/>
    <w:link w:val="Heading4"/>
    <w:uiPriority w:val="9"/>
    <w:rsid w:val="000D1297"/>
    <w:rPr>
      <w:rFonts w:asciiTheme="majorHAnsi" w:eastAsiaTheme="majorEastAsia" w:hAnsiTheme="majorHAnsi" w:cstheme="majorBidi"/>
      <w:i/>
      <w:iCs/>
      <w:color w:val="2F5496" w:themeColor="accent1" w:themeShade="BF"/>
    </w:rPr>
  </w:style>
  <w:style w:type="paragraph" w:customStyle="1" w:styleId="Tableheading">
    <w:name w:val="Table heading"/>
    <w:basedOn w:val="Tabletext"/>
    <w:next w:val="Tabletext"/>
    <w:qFormat/>
    <w:rsid w:val="000D1297"/>
    <w:rPr>
      <w:b/>
      <w:sz w:val="22"/>
    </w:rPr>
  </w:style>
  <w:style w:type="paragraph" w:customStyle="1" w:styleId="Tabletext">
    <w:name w:val="Table text"/>
    <w:basedOn w:val="Normal"/>
    <w:qFormat/>
    <w:rsid w:val="000D1297"/>
    <w:pPr>
      <w:keepNext/>
      <w:spacing w:before="40" w:after="40"/>
    </w:pPr>
    <w:rPr>
      <w:rFonts w:eastAsia="Times New Roman" w:cs="Arial"/>
      <w:sz w:val="20"/>
      <w:szCs w:val="36"/>
      <w:lang w:val="en-AU" w:eastAsia="en-GB"/>
    </w:rPr>
  </w:style>
  <w:style w:type="paragraph" w:customStyle="1" w:styleId="Figure">
    <w:name w:val="Figure"/>
    <w:basedOn w:val="Tabletext"/>
    <w:qFormat/>
    <w:rsid w:val="000D1297"/>
    <w:pPr>
      <w:jc w:val="center"/>
    </w:pPr>
  </w:style>
  <w:style w:type="paragraph" w:customStyle="1" w:styleId="Figurecaption">
    <w:name w:val="Figure caption"/>
    <w:next w:val="Normal"/>
    <w:link w:val="FigurecaptionChar"/>
    <w:qFormat/>
    <w:rsid w:val="000D1297"/>
    <w:pPr>
      <w:spacing w:after="120"/>
      <w:jc w:val="center"/>
    </w:pPr>
    <w:rPr>
      <w:b/>
      <w:bCs/>
      <w:i/>
      <w:iCs/>
      <w:sz w:val="20"/>
      <w:szCs w:val="20"/>
    </w:rPr>
  </w:style>
  <w:style w:type="character" w:customStyle="1" w:styleId="CaptionChar">
    <w:name w:val="Caption Char"/>
    <w:aliases w:val="Table caption Char"/>
    <w:basedOn w:val="DefaultParagraphFont"/>
    <w:link w:val="Caption"/>
    <w:uiPriority w:val="24"/>
    <w:rsid w:val="000D1297"/>
    <w:rPr>
      <w:b/>
      <w:bCs/>
      <w:i/>
      <w:iCs/>
      <w:sz w:val="20"/>
      <w:szCs w:val="20"/>
    </w:rPr>
  </w:style>
  <w:style w:type="character" w:customStyle="1" w:styleId="FigurecaptionChar">
    <w:name w:val="Figure caption Char"/>
    <w:basedOn w:val="CaptionChar"/>
    <w:link w:val="Figurecaption"/>
    <w:rsid w:val="000D1297"/>
    <w:rPr>
      <w:b/>
      <w:bCs/>
      <w:i/>
      <w:iCs/>
      <w:sz w:val="20"/>
      <w:szCs w:val="20"/>
    </w:rPr>
  </w:style>
  <w:style w:type="character" w:customStyle="1" w:styleId="Heading6Char">
    <w:name w:val="Heading 6 Char"/>
    <w:aliases w:val="Appendix L1 Char"/>
    <w:basedOn w:val="DefaultParagraphFont"/>
    <w:link w:val="Heading6"/>
    <w:uiPriority w:val="9"/>
    <w:rsid w:val="002A12B5"/>
    <w:rPr>
      <w:rFonts w:eastAsiaTheme="majorEastAsia" w:cstheme="minorHAnsi"/>
      <w:b/>
      <w:bCs/>
      <w:color w:val="5A5753"/>
      <w:sz w:val="32"/>
      <w:szCs w:val="32"/>
    </w:rPr>
  </w:style>
  <w:style w:type="character" w:customStyle="1" w:styleId="Heading7Char">
    <w:name w:val="Heading 7 Char"/>
    <w:aliases w:val="Appendix L2 Char"/>
    <w:basedOn w:val="DefaultParagraphFont"/>
    <w:link w:val="Heading7"/>
    <w:uiPriority w:val="9"/>
    <w:rsid w:val="002A12B5"/>
    <w:rPr>
      <w:rFonts w:eastAsiaTheme="majorEastAsia" w:cstheme="minorHAnsi"/>
      <w:b/>
      <w:bCs/>
      <w:color w:val="5A5753"/>
      <w:sz w:val="28"/>
      <w:szCs w:val="28"/>
    </w:rPr>
  </w:style>
  <w:style w:type="character" w:customStyle="1" w:styleId="Heading8Char">
    <w:name w:val="Heading 8 Char"/>
    <w:aliases w:val="Appendix L3 Char"/>
    <w:basedOn w:val="DefaultParagraphFont"/>
    <w:link w:val="Heading8"/>
    <w:uiPriority w:val="9"/>
    <w:rsid w:val="002A12B5"/>
    <w:rPr>
      <w:rFonts w:eastAsiaTheme="majorEastAsia" w:cstheme="minorHAnsi"/>
      <w:b/>
      <w:bCs/>
      <w:color w:val="5A5753"/>
      <w:szCs w:val="24"/>
    </w:rPr>
  </w:style>
  <w:style w:type="character" w:customStyle="1" w:styleId="Heading9Char">
    <w:name w:val="Heading 9 Char"/>
    <w:aliases w:val="Appendix L4 Char"/>
    <w:basedOn w:val="DefaultParagraphFont"/>
    <w:link w:val="Heading9"/>
    <w:uiPriority w:val="9"/>
    <w:rsid w:val="00652FB4"/>
    <w:rPr>
      <w:rFonts w:asciiTheme="majorHAnsi" w:eastAsiaTheme="majorEastAsia" w:hAnsiTheme="majorHAnsi" w:cstheme="majorBidi"/>
      <w:b/>
      <w:bCs/>
      <w:i/>
      <w:iCs/>
    </w:rPr>
  </w:style>
  <w:style w:type="paragraph" w:styleId="NoSpacing">
    <w:name w:val="No Spacing"/>
    <w:link w:val="NoSpacingChar"/>
    <w:uiPriority w:val="1"/>
    <w:qFormat/>
    <w:rsid w:val="007D72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72F4"/>
    <w:rPr>
      <w:rFonts w:eastAsiaTheme="minorEastAsia"/>
      <w:lang w:val="en-US"/>
    </w:rPr>
  </w:style>
  <w:style w:type="paragraph" w:customStyle="1" w:styleId="QATitle">
    <w:name w:val="QA Title"/>
    <w:next w:val="Normal"/>
    <w:link w:val="QATitleChar"/>
    <w:uiPriority w:val="26"/>
    <w:qFormat/>
    <w:rsid w:val="007D72F4"/>
    <w:pPr>
      <w:spacing w:after="0" w:line="240" w:lineRule="exact"/>
    </w:pPr>
  </w:style>
  <w:style w:type="character" w:customStyle="1" w:styleId="QATitleChar">
    <w:name w:val="QA Title Char"/>
    <w:basedOn w:val="DefaultParagraphFont"/>
    <w:link w:val="QATitle"/>
    <w:uiPriority w:val="26"/>
    <w:rsid w:val="007D72F4"/>
  </w:style>
  <w:style w:type="paragraph" w:styleId="Title">
    <w:name w:val="Title"/>
    <w:basedOn w:val="Normal"/>
    <w:next w:val="Normal"/>
    <w:link w:val="TitleChar"/>
    <w:uiPriority w:val="10"/>
    <w:qFormat/>
    <w:rsid w:val="00451D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DC2"/>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451D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1DC2"/>
    <w:rPr>
      <w:rFonts w:eastAsiaTheme="minorEastAsia"/>
      <w:i/>
      <w:iCs/>
      <w:color w:val="4472C4" w:themeColor="accent1"/>
      <w:sz w:val="24"/>
      <w:szCs w:val="24"/>
    </w:rPr>
  </w:style>
  <w:style w:type="character" w:styleId="IntenseEmphasis">
    <w:name w:val="Intense Emphasis"/>
    <w:basedOn w:val="DefaultParagraphFont"/>
    <w:uiPriority w:val="21"/>
    <w:qFormat/>
    <w:rsid w:val="00451DC2"/>
    <w:rPr>
      <w:i/>
      <w:iCs/>
      <w:color w:val="4472C4" w:themeColor="accent1"/>
    </w:rPr>
  </w:style>
  <w:style w:type="character" w:styleId="CommentReference">
    <w:name w:val="annotation reference"/>
    <w:basedOn w:val="DefaultParagraphFont"/>
    <w:uiPriority w:val="99"/>
    <w:semiHidden/>
    <w:unhideWhenUsed/>
    <w:rsid w:val="00451DC2"/>
    <w:rPr>
      <w:sz w:val="16"/>
      <w:szCs w:val="16"/>
    </w:rPr>
  </w:style>
  <w:style w:type="paragraph" w:styleId="CommentText">
    <w:name w:val="annotation text"/>
    <w:basedOn w:val="Normal"/>
    <w:link w:val="CommentTextChar"/>
    <w:uiPriority w:val="99"/>
    <w:semiHidden/>
    <w:unhideWhenUsed/>
    <w:rsid w:val="00451DC2"/>
    <w:rPr>
      <w:sz w:val="20"/>
      <w:szCs w:val="20"/>
    </w:rPr>
  </w:style>
  <w:style w:type="character" w:customStyle="1" w:styleId="CommentTextChar">
    <w:name w:val="Comment Text Char"/>
    <w:basedOn w:val="DefaultParagraphFont"/>
    <w:link w:val="CommentText"/>
    <w:uiPriority w:val="99"/>
    <w:semiHidden/>
    <w:rsid w:val="00451DC2"/>
    <w:rPr>
      <w:rFonts w:eastAsiaTheme="minorEastAsia"/>
      <w:sz w:val="20"/>
      <w:szCs w:val="20"/>
    </w:rPr>
  </w:style>
  <w:style w:type="paragraph" w:customStyle="1" w:styleId="EndNoteBibliographyTitle">
    <w:name w:val="EndNote Bibliography Title"/>
    <w:basedOn w:val="Normal"/>
    <w:link w:val="EndNoteBibliographyTitleChar"/>
    <w:rsid w:val="00451DC2"/>
    <w:pPr>
      <w:jc w:val="center"/>
    </w:pPr>
    <w:rPr>
      <w:rFonts w:ascii="Calibri" w:hAnsi="Calibri" w:cs="Calibri"/>
      <w:sz w:val="24"/>
      <w:lang w:val="en-US"/>
    </w:rPr>
  </w:style>
  <w:style w:type="character" w:customStyle="1" w:styleId="EndNoteBibliographyTitleChar">
    <w:name w:val="EndNote Bibliography Title Char"/>
    <w:basedOn w:val="Heading1Char"/>
    <w:link w:val="EndNoteBibliographyTitle"/>
    <w:rsid w:val="00451DC2"/>
    <w:rPr>
      <w:rFonts w:ascii="Calibri" w:eastAsiaTheme="minorEastAsia" w:hAnsi="Calibri" w:cs="Calibri"/>
      <w:b w:val="0"/>
      <w:bCs w:val="0"/>
      <w:noProof/>
      <w:color w:val="5A5753"/>
      <w:sz w:val="24"/>
      <w:szCs w:val="24"/>
      <w:lang w:val="en-US"/>
    </w:rPr>
  </w:style>
  <w:style w:type="paragraph" w:customStyle="1" w:styleId="EndNoteBibliography">
    <w:name w:val="EndNote Bibliography"/>
    <w:basedOn w:val="Normal"/>
    <w:link w:val="EndNoteBibliographyChar"/>
    <w:rsid w:val="00451DC2"/>
    <w:rPr>
      <w:rFonts w:ascii="Calibri" w:hAnsi="Calibri" w:cs="Calibri"/>
      <w:sz w:val="24"/>
      <w:lang w:val="en-US"/>
    </w:rPr>
  </w:style>
  <w:style w:type="character" w:customStyle="1" w:styleId="EndNoteBibliographyChar">
    <w:name w:val="EndNote Bibliography Char"/>
    <w:basedOn w:val="Heading1Char"/>
    <w:link w:val="EndNoteBibliography"/>
    <w:rsid w:val="00451DC2"/>
    <w:rPr>
      <w:rFonts w:ascii="Calibri" w:eastAsiaTheme="minorEastAsia" w:hAnsi="Calibri" w:cs="Calibri"/>
      <w:b w:val="0"/>
      <w:bCs w:val="0"/>
      <w:noProof/>
      <w:color w:val="5A5753"/>
      <w:sz w:val="24"/>
      <w:szCs w:val="24"/>
      <w:lang w:val="en-US"/>
    </w:rPr>
  </w:style>
  <w:style w:type="character" w:styleId="PageNumber">
    <w:name w:val="page number"/>
    <w:basedOn w:val="DefaultParagraphFont"/>
    <w:uiPriority w:val="99"/>
    <w:semiHidden/>
    <w:unhideWhenUsed/>
    <w:rsid w:val="00451DC2"/>
  </w:style>
  <w:style w:type="paragraph" w:styleId="CommentSubject">
    <w:name w:val="annotation subject"/>
    <w:basedOn w:val="CommentText"/>
    <w:next w:val="CommentText"/>
    <w:link w:val="CommentSubjectChar"/>
    <w:uiPriority w:val="99"/>
    <w:semiHidden/>
    <w:unhideWhenUsed/>
    <w:rsid w:val="00ED51D2"/>
    <w:rPr>
      <w:b/>
      <w:bCs/>
    </w:rPr>
  </w:style>
  <w:style w:type="character" w:customStyle="1" w:styleId="CommentSubjectChar">
    <w:name w:val="Comment Subject Char"/>
    <w:basedOn w:val="CommentTextChar"/>
    <w:link w:val="CommentSubject"/>
    <w:uiPriority w:val="99"/>
    <w:semiHidden/>
    <w:rsid w:val="00ED51D2"/>
    <w:rPr>
      <w:rFonts w:eastAsiaTheme="minorEastAsia"/>
      <w:b/>
      <w:bCs/>
      <w:sz w:val="20"/>
      <w:szCs w:val="20"/>
    </w:rPr>
  </w:style>
  <w:style w:type="character" w:styleId="FollowedHyperlink">
    <w:name w:val="FollowedHyperlink"/>
    <w:basedOn w:val="DefaultParagraphFont"/>
    <w:uiPriority w:val="99"/>
    <w:semiHidden/>
    <w:unhideWhenUsed/>
    <w:rsid w:val="00F140B0"/>
    <w:rPr>
      <w:color w:val="954F72" w:themeColor="followedHyperlink"/>
      <w:u w:val="single"/>
    </w:rPr>
  </w:style>
  <w:style w:type="paragraph" w:styleId="Quote">
    <w:name w:val="Quote"/>
    <w:basedOn w:val="Normal"/>
    <w:next w:val="Normal"/>
    <w:link w:val="QuoteChar"/>
    <w:uiPriority w:val="29"/>
    <w:unhideWhenUsed/>
    <w:qFormat/>
    <w:rsid w:val="00E64D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4DB1"/>
    <w:rPr>
      <w:rFonts w:eastAsiaTheme="minorEastAsia"/>
      <w:i/>
      <w:iCs/>
      <w:color w:val="404040" w:themeColor="text1" w:themeTint="BF"/>
      <w:sz w:val="24"/>
      <w:szCs w:val="24"/>
    </w:rPr>
  </w:style>
  <w:style w:type="character" w:customStyle="1" w:styleId="ListParagraphChar">
    <w:name w:val="List Paragraph Char"/>
    <w:aliases w:val="Rec para Char,List Paragraph1 Char,Recommendation Char,List Paragraph11 Char"/>
    <w:basedOn w:val="DefaultParagraphFont"/>
    <w:link w:val="ListParagraph"/>
    <w:uiPriority w:val="34"/>
    <w:locked/>
    <w:rsid w:val="007A5FE6"/>
  </w:style>
  <w:style w:type="paragraph" w:customStyle="1" w:styleId="Content">
    <w:name w:val="Content"/>
    <w:basedOn w:val="Normal"/>
    <w:qFormat/>
    <w:rsid w:val="00AC5700"/>
    <w:pPr>
      <w:spacing w:before="240" w:after="60" w:line="259" w:lineRule="auto"/>
    </w:pPr>
    <w:rPr>
      <w:rFonts w:eastAsiaTheme="minorHAnsi"/>
      <w:szCs w:val="22"/>
    </w:rPr>
  </w:style>
  <w:style w:type="table" w:styleId="GridTable4-Accent2">
    <w:name w:val="Grid Table 4 Accent 2"/>
    <w:basedOn w:val="TableNormal"/>
    <w:uiPriority w:val="49"/>
    <w:rsid w:val="00AC57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AB57E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G-RECOMMENDATION">
    <w:name w:val="TG-RECOMMENDATION"/>
    <w:basedOn w:val="ListParagraph"/>
    <w:next w:val="Normal"/>
    <w:qFormat/>
    <w:rsid w:val="00F905F4"/>
    <w:pPr>
      <w:numPr>
        <w:numId w:val="12"/>
      </w:numPr>
      <w:shd w:val="clear" w:color="auto" w:fill="C5E0B3" w:themeFill="accent6" w:themeFillTint="66"/>
    </w:pPr>
  </w:style>
  <w:style w:type="character" w:styleId="Mention">
    <w:name w:val="Mention"/>
    <w:basedOn w:val="DefaultParagraphFont"/>
    <w:uiPriority w:val="99"/>
    <w:unhideWhenUsed/>
    <w:rsid w:val="008544D6"/>
    <w:rPr>
      <w:color w:val="2B579A"/>
      <w:shd w:val="clear" w:color="auto" w:fill="E1DFDD"/>
    </w:rPr>
  </w:style>
  <w:style w:type="character" w:customStyle="1" w:styleId="nonvisual-indicator">
    <w:name w:val="nonvisual-indicator"/>
    <w:basedOn w:val="DefaultParagraphFont"/>
    <w:rsid w:val="007D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4004">
      <w:bodyDiv w:val="1"/>
      <w:marLeft w:val="0"/>
      <w:marRight w:val="0"/>
      <w:marTop w:val="0"/>
      <w:marBottom w:val="0"/>
      <w:divBdr>
        <w:top w:val="none" w:sz="0" w:space="0" w:color="auto"/>
        <w:left w:val="none" w:sz="0" w:space="0" w:color="auto"/>
        <w:bottom w:val="none" w:sz="0" w:space="0" w:color="auto"/>
        <w:right w:val="none" w:sz="0" w:space="0" w:color="auto"/>
      </w:divBdr>
    </w:div>
    <w:div w:id="626593753">
      <w:bodyDiv w:val="1"/>
      <w:marLeft w:val="0"/>
      <w:marRight w:val="0"/>
      <w:marTop w:val="0"/>
      <w:marBottom w:val="0"/>
      <w:divBdr>
        <w:top w:val="none" w:sz="0" w:space="0" w:color="auto"/>
        <w:left w:val="none" w:sz="0" w:space="0" w:color="auto"/>
        <w:bottom w:val="none" w:sz="0" w:space="0" w:color="auto"/>
        <w:right w:val="none" w:sz="0" w:space="0" w:color="auto"/>
      </w:divBdr>
    </w:div>
    <w:div w:id="1055080131">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ta.govt.nz/vehicles/vehicle-types/vehicle-classes-and-standards/vehicle-classes/" TargetMode="External"/><Relationship Id="rId18" Type="http://schemas.openxmlformats.org/officeDocument/2006/relationships/hyperlink" Target="https://www.bar.ca.gov/Consumer/Smog_Check_Program" TargetMode="External"/><Relationship Id="rId26" Type="http://schemas.openxmlformats.org/officeDocument/2006/relationships/hyperlink" Target="http://pdf.wri.org/modernizing_public_transportation.pdf" TargetMode="External"/><Relationship Id="rId3" Type="http://schemas.openxmlformats.org/officeDocument/2006/relationships/customXml" Target="../customXml/item3.xml"/><Relationship Id="rId21" Type="http://schemas.openxmlformats.org/officeDocument/2006/relationships/hyperlink" Target="https://www.nzta.govt.nz/resources/research/reports/674/" TargetMode="External"/><Relationship Id="rId7" Type="http://schemas.openxmlformats.org/officeDocument/2006/relationships/styles" Target="styles.xml"/><Relationship Id="rId12" Type="http://schemas.openxmlformats.org/officeDocument/2006/relationships/hyperlink" Target="https://www.transportationgroup.nz/about-us/" TargetMode="External"/><Relationship Id="rId17" Type="http://schemas.openxmlformats.org/officeDocument/2006/relationships/hyperlink" Target="https://www.bar.ca.gov/Roadside_Inspection_Program" TargetMode="External"/><Relationship Id="rId25" Type="http://schemas.openxmlformats.org/officeDocument/2006/relationships/hyperlink" Target="https://www.nzta.govt.nz/resources/research/reports/621/" TargetMode="External"/><Relationship Id="rId2" Type="http://schemas.openxmlformats.org/officeDocument/2006/relationships/customXml" Target="../customXml/item2.xml"/><Relationship Id="rId16" Type="http://schemas.openxmlformats.org/officeDocument/2006/relationships/hyperlink" Target="https://www.nzta.govt.nz/roads-and-rail/highways-information-portal/technical-disciplines/air-quality-climate/vehicles/exhaust-emission-standards/" TargetMode="External"/><Relationship Id="rId20" Type="http://schemas.openxmlformats.org/officeDocument/2006/relationships/hyperlink" Target="https://www.linkedin.com/in/margaritaparr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ta.govt.nz/assets/resources/research/reports/534/docs/534.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zherald.co.nz/nz/simon-wilson-how-to-cut-auckland-transport-emissions-by-70-per-cent-in-just-10-years/7ZFVY6VSSDAEBWPPRZ6FH77Q4U/" TargetMode="External"/><Relationship Id="rId23" Type="http://schemas.openxmlformats.org/officeDocument/2006/relationships/hyperlink" Target="https://www.iccc.mfe.govt.nz/assets/PDF_Library/ad42c96b5f/MfE-Reducing-Barriers-to-Electric-Vehicle-Uptake.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m.com/commitments/electrification.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nsport2030.org/" TargetMode="External"/><Relationship Id="rId22" Type="http://schemas.openxmlformats.org/officeDocument/2006/relationships/hyperlink" Target="https://www.ecan.govt.nz/get-involved/news-and-events/2020/environment-canterbury-accelerates-move-to-new-low-emission-buses/" TargetMode="External"/><Relationship Id="rId27" Type="http://schemas.openxmlformats.org/officeDocument/2006/relationships/header" Target="header1.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nu.org/publicsquare/2021/02/19/we-need-both-evs-and-15-minute-city" TargetMode="External"/><Relationship Id="rId1" Type="http://schemas.openxmlformats.org/officeDocument/2006/relationships/hyperlink" Target="https://theconversation.com/climate-explained-the-environmental-footprint-of-electric-versus-fossil-cars-12476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89A8E7EB-F240-4284-9BD0-75CC4DBA3589}">
  <ds:schemaRefs>
    <ds:schemaRef ds:uri="http://schemas.openxmlformats.org/officeDocument/2006/bibliography"/>
  </ds:schemaRefs>
</ds:datastoreItem>
</file>

<file path=customXml/itemProps4.xml><?xml version="1.0" encoding="utf-8"?>
<ds:datastoreItem xmlns:ds="http://schemas.openxmlformats.org/officeDocument/2006/customXml" ds:itemID="{791794F9-53AE-4909-9240-6E614D0E1501}">
  <ds:schemaRef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d52fafdb-a4ff-4809-bde7-dca9edffa2f9"/>
    <ds:schemaRef ds:uri="http://schemas.microsoft.com/office/2006/documentManagement/types"/>
    <ds:schemaRef ds:uri="5514903b-bcf6-41a8-869d-f21347556a2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8D539F16-5955-40B8-9119-907226B3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7420</Words>
  <Characters>42296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Daniel Newcombe</cp:lastModifiedBy>
  <cp:revision>2</cp:revision>
  <cp:lastPrinted>2021-03-27T02:43:00Z</cp:lastPrinted>
  <dcterms:created xsi:type="dcterms:W3CDTF">2021-06-05T21:57:00Z</dcterms:created>
  <dcterms:modified xsi:type="dcterms:W3CDTF">2021-06-05T21:57:00Z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0x0101009066C73EE823294A875BD4DD6F07FEB6</vt:lpwstr>
  </property>
</Properties>
</file>